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October 23, 2026</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Ellington Credit Company</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specified in its charter)</w:t>
      </w:r>
    </w:p>
    <w:p>
      <w:pPr>
        <w:sectPr>
          <w:pgSz w:w="11900" w:h="16838" w:orient="portrait"/>
          <w:cols w:equalWidth="0" w:num="1">
            <w:col w:w="11240"/>
          </w:cols>
          <w:pgMar w:left="320" w:top="999" w:right="339" w:bottom="1440" w:gutter="0" w:footer="0" w:header="0"/>
        </w:sectPr>
      </w:pPr>
    </w:p>
    <w:p>
      <w:pPr>
        <w:spacing w:after="0" w:line="3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811-24071</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46-0687599</w:t>
      </w:r>
    </w:p>
    <w:p>
      <w:pPr>
        <w:spacing w:after="0" w:line="40" w:lineRule="exact"/>
        <w:rPr>
          <w:sz w:val="24"/>
          <w:szCs w:val="24"/>
          <w:color w:val="auto"/>
        </w:rPr>
      </w:pPr>
    </w:p>
    <w:p>
      <w:pPr>
        <w:sectPr>
          <w:pgSz w:w="11900" w:h="16838" w:orient="portrait"/>
          <w:cols w:equalWidth="0" w:num="3">
            <w:col w:w="4500" w:space="720"/>
            <w:col w:w="3000" w:space="720"/>
            <w:col w:w="2300"/>
          </w:cols>
          <w:pgMar w:left="320" w:top="999" w:right="3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8" w:lineRule="exact"/>
        <w:rPr>
          <w:sz w:val="24"/>
          <w:szCs w:val="24"/>
          <w:color w:val="auto"/>
        </w:rPr>
      </w:pPr>
    </w:p>
    <w:p>
      <w:pPr>
        <w:sectPr>
          <w:pgSz w:w="11900" w:h="16838" w:orient="portrait"/>
          <w:cols w:equalWidth="0" w:num="3">
            <w:col w:w="3900" w:space="720"/>
            <w:col w:w="2800" w:space="720"/>
            <w:col w:w="3100"/>
          </w:cols>
          <w:pgMar w:left="320" w:top="99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99"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8"/>
                <w:szCs w:val="18"/>
                <w:color w:val="auto"/>
              </w:rPr>
            </w:pPr>
          </w:p>
        </w:tc>
        <w:tc>
          <w:tcPr>
            <w:tcW w:w="4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Shares of Beneficial Interest, no par value</w:t>
            </w:r>
          </w:p>
        </w:tc>
        <w:tc>
          <w:tcPr>
            <w:tcW w:w="2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EARN</w:t>
            </w:r>
          </w:p>
        </w:tc>
        <w:tc>
          <w:tcPr>
            <w:tcW w:w="4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43"/>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8.50% Notes due 2031</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ELLA</w:t>
            </w:r>
          </w:p>
        </w:tc>
        <w:tc>
          <w:tcPr>
            <w:tcW w:w="4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306" w:lineRule="exact"/>
        <w:rPr>
          <w:sz w:val="24"/>
          <w:szCs w:val="24"/>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23, 2026, Ellington Credit Company (the “Fund”) entered into an equity distribution agreement, dated as of October 23, 2026 (the “Equity Distribution Agreement”), by and among the Fund, Ellington Credit Company Management LLC, the Fund's investment adviser (the “Adviser”), Ellington Credit Company Administration LLC, the Fund's administrator (the “Administrator”), and each of Citizens JMP Securities, LLC, B. Riley Securities, Inc., Lucid Capital Markets, LLC, and Armstrong Securities LLC (each, an “Agent” and, collectively, the “Agents”), as agents and/or principals thereunder. Under the Equity Distribution Agreement, the Fund may, but has no obligation to, issue and sell, from time to time, up to $125,000,000 in aggregate offering price of its common shares of beneficial interest, no par value (the “Common Shares”) through the Agents.</w:t>
      </w:r>
    </w:p>
    <w:p>
      <w:pPr>
        <w:spacing w:after="0" w:line="13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Common Shares, if any, will be offered and sold pursuant to the Fund’s registration statement on Form N-2 (File Nos. 333-298702 and 811-24071) (the “Registration Statement”), initially filed by the Fund on September 1, 2026, as amended by a pre-effective amendment dated October 19, 2026, and declared effective by the Securities and Exchange Commission on October 21, 2026, the prospectus, dated October 19, 2026, contained in the Registration Statement, and the prospectus supplement, dated October 23, 2026. Sales of Common Shares, if any, may be made by any method permitted by law and deemed to be an “at the market offering” as defined in Rule 415 under the Securities Act of 1933, as amended (the “Securities Act”), including sales made directly on or through the New York Stock Exchange or another securities exchange, through a market maker other than on an exchange, at prevailing market prices, at prices related to prevailing market prices or at negotiated prices. The Fund intends to use any net proceeds from sales of Common Shares for general corporate purposes, including to acquire investments in accordance with its investment objectives and strategies.</w:t>
      </w:r>
    </w:p>
    <w:p>
      <w:pPr>
        <w:spacing w:after="0" w:line="13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Equity Distribution Agreement, the Agents will receive commissions from the Fund of up to 2.0% of the gross sales price of any Common Shares sold through such Agents under the Equity Distribution Agreement. The Equity Distribution Agreement contains customary representations, warranties, covenants, indemnification obligations of the Fund and the Agents, including for liabilities under the Securities Act, and other obligations of the parties. The representations, warranties and covenants contained in the Equity Distribution Agreement were made only for purposes of such agreement, were solely for the benefit of the parties to such agreement, and may be subject to limitations agreed upon by the contracting parties.</w:t>
      </w:r>
    </w:p>
    <w:p>
      <w:pPr>
        <w:spacing w:after="0" w:line="12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Equity Distribution Agreement does not purport to be complete and is qualified in its entirety by reference to the Equity Distribution Agreement, a copy of which is filed as Exhibit 1.1 hereto.</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Dechert LLP, counsel to the Fund, has issued a legal opinion relating to the legality of the issuance and the sale of the Common Shares. A copy of such legal opinion is attached as Exhibit 5.1 hereto.</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Common Shares under the Equity Distribution Agreement nor shall there be any sale of such Common Shares in any state in which such offer, solicitation or sale would be unlawful prior to registration or qualification under the securities laws of any such state.</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171" w:lineRule="exact"/>
        <w:rPr>
          <w:sz w:val="20"/>
          <w:szCs w:val="20"/>
          <w:color w:val="auto"/>
        </w:rPr>
      </w:pPr>
    </w:p>
    <w:p>
      <w:pPr>
        <w:ind w:left="1380" w:right="200" w:hanging="647"/>
        <w:spacing w:after="0" w:line="257" w:lineRule="auto"/>
        <w:tabs>
          <w:tab w:leader="none" w:pos="1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FF"/>
        </w:rPr>
        <w:t>Equity Distribution Agreement, dated as of October 23, 2026, by and among Ellington Credit Company, Ellington Credit Company Management LLC, Ellington Credit Company Administration LLC, Citizens JMP Securities, LLC, B. Riley Securities, Inc., Lucid Capital Markets, LLC, and Armstrong Securities LLC</w:t>
      </w:r>
    </w:p>
    <w:p>
      <w:pPr>
        <w:spacing w:after="0" w:line="1"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FF"/>
        </w:rPr>
        <w:t>Opinion of Dechert LLP as to the legality of the Common Shares</w:t>
      </w:r>
    </w:p>
    <w:p>
      <w:pPr>
        <w:spacing w:after="0" w:line="9"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Consent of Dechert LLP (included in Exhibit 5.1)</w:t>
      </w:r>
    </w:p>
    <w:p>
      <w:pPr>
        <w:spacing w:after="0" w:line="9"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06" w:lineRule="exact"/>
        <w:rPr>
          <w:sz w:val="20"/>
          <w:szCs w:val="20"/>
          <w:color w:val="auto"/>
        </w:rPr>
      </w:pPr>
    </w:p>
    <w:p>
      <w:pPr>
        <w:ind w:left="20"/>
        <w:spacing w:after="0"/>
        <w:tabs>
          <w:tab w:leader="none" w:pos="720" w:val="left"/>
          <w:tab w:leader="none" w:pos="5180" w:val="left"/>
        </w:tabs>
        <w:rPr>
          <w:sz w:val="20"/>
          <w:szCs w:val="20"/>
          <w:color w:val="auto"/>
        </w:rPr>
      </w:pPr>
      <w:r>
        <w:rPr>
          <w:rFonts w:ascii="Times New Roman" w:cs="Times New Roman" w:eastAsia="Times New Roman" w:hAnsi="Times New Roman"/>
          <w:sz w:val="18"/>
          <w:szCs w:val="18"/>
          <w:color w:val="auto"/>
        </w:rPr>
        <w:t>Dated:</w:t>
        <w:tab/>
        <w:t>October 27,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19685</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140"/>
          </w:cols>
          <w:pgMar w:left="320" w:top="1049"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374"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October 23,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California Street, 17th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1655 Fort Meyer Drive,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 22209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Armstrong Securities LLC</w:t>
      </w:r>
    </w:p>
    <w:p>
      <w:pPr>
        <w:spacing w:after="0" w:line="222" w:lineRule="auto"/>
        <w:rPr>
          <w:sz w:val="20"/>
          <w:szCs w:val="20"/>
          <w:color w:val="auto"/>
        </w:rPr>
      </w:pPr>
      <w:r>
        <w:rPr>
          <w:rFonts w:ascii="Times New Roman" w:cs="Times New Roman" w:eastAsia="Times New Roman" w:hAnsi="Times New Roman"/>
          <w:sz w:val="18"/>
          <w:szCs w:val="18"/>
          <w:color w:val="auto"/>
        </w:rPr>
        <w:t>711 3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Avenue,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Ellington Credit Company, a Delaware statutory trust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Ellington Credit Company Management LLC, a Delaware limited liability company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and Ellington Credit Company Administration LLC, a Delaware limited liability company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each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Citizens JMP Securities, LLC (“</w:t>
      </w:r>
      <w:r>
        <w:rPr>
          <w:rFonts w:ascii="Times New Roman" w:cs="Times New Roman" w:eastAsia="Times New Roman" w:hAnsi="Times New Roman"/>
          <w:sz w:val="18"/>
          <w:szCs w:val="18"/>
          <w:b w:val="1"/>
          <w:bCs w:val="1"/>
          <w:color w:val="auto"/>
        </w:rPr>
        <w:t>Citizens JMP</w:t>
      </w:r>
      <w:r>
        <w:rPr>
          <w:rFonts w:ascii="Times New Roman" w:cs="Times New Roman" w:eastAsia="Times New Roman" w:hAnsi="Times New Roman"/>
          <w:sz w:val="18"/>
          <w:szCs w:val="18"/>
          <w:color w:val="auto"/>
        </w:rPr>
        <w:t>”), B. Riley Securities, Inc. (“</w:t>
      </w:r>
      <w:r>
        <w:rPr>
          <w:rFonts w:ascii="Times New Roman" w:cs="Times New Roman" w:eastAsia="Times New Roman" w:hAnsi="Times New Roman"/>
          <w:sz w:val="18"/>
          <w:szCs w:val="18"/>
          <w:b w:val="1"/>
          <w:bCs w:val="1"/>
          <w:color w:val="auto"/>
        </w:rPr>
        <w:t>B. Riley</w:t>
      </w:r>
      <w:r>
        <w:rPr>
          <w:rFonts w:ascii="Times New Roman" w:cs="Times New Roman" w:eastAsia="Times New Roman" w:hAnsi="Times New Roman"/>
          <w:sz w:val="18"/>
          <w:szCs w:val="18"/>
          <w:color w:val="auto"/>
        </w:rPr>
        <w:t>”), Lucid Capital Markets, LLC (“</w:t>
      </w:r>
      <w:r>
        <w:rPr>
          <w:rFonts w:ascii="Times New Roman" w:cs="Times New Roman" w:eastAsia="Times New Roman" w:hAnsi="Times New Roman"/>
          <w:sz w:val="18"/>
          <w:szCs w:val="18"/>
          <w:b w:val="1"/>
          <w:bCs w:val="1"/>
          <w:color w:val="auto"/>
        </w:rPr>
        <w:t>Lucid</w:t>
      </w:r>
      <w:r>
        <w:rPr>
          <w:rFonts w:ascii="Times New Roman" w:cs="Times New Roman" w:eastAsia="Times New Roman" w:hAnsi="Times New Roman"/>
          <w:sz w:val="18"/>
          <w:szCs w:val="18"/>
          <w:color w:val="auto"/>
        </w:rPr>
        <w:t>”) and Armstrong Securities LLC (“</w:t>
      </w:r>
      <w:r>
        <w:rPr>
          <w:rFonts w:ascii="Times New Roman" w:cs="Times New Roman" w:eastAsia="Times New Roman" w:hAnsi="Times New Roman"/>
          <w:sz w:val="18"/>
          <w:szCs w:val="18"/>
          <w:b w:val="1"/>
          <w:bCs w:val="1"/>
          <w:color w:val="auto"/>
        </w:rPr>
        <w:t>Armstrong</w:t>
      </w:r>
      <w:r>
        <w:rPr>
          <w:rFonts w:ascii="Times New Roman" w:cs="Times New Roman" w:eastAsia="Times New Roman" w:hAnsi="Times New Roman"/>
          <w:sz w:val="18"/>
          <w:szCs w:val="18"/>
          <w:color w:val="auto"/>
        </w:rPr>
        <w:t>”) (each of Citizens JMP, B. Riley, Lucid and Armstrong individually a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as follows:</w:t>
      </w:r>
    </w:p>
    <w:p>
      <w:pPr>
        <w:spacing w:after="0" w:line="166"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Securities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Fund, the Adviser and the Administrator agrees that, from time to time during the term of this Agreement, on the terms and subject to the conditions set forth herein, the Fund may issue and sell through the Placement Agents, acting as agent and/or principal, shares of the Fund’s common shares of beneficial interest, no par value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Fund issue or sell through the Placement Agents such number or dollar amount of Common Shares that (a) exceeds the number or dollar amount of Common Shares registered on the effective Registration Statement (as defined below) pursuant to which the offering is being made or (b) exceeds the number of authorized but unissued Common Shares (each of (a) and (b), as applicable, the “</w:t>
      </w: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1 regarding the amount of Common Shares to be issued and sold under this Agreement shall be the sole responsibility of the Fund, and the Placement Agents shall have no obligation in connection with such compliance. The issuance and sale of the Common Shares through the Placement Agents will be effected pursuant to the Registration Statement (as defined below) filed by the Fund and declared effective by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although nothing in this Agreement shall be construed as requiring the Fund to issue or sell any Common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Fund has filed with the Commission a shelf registration statement on Form N-2 (File No. 333-298702), including the base prospectus or prospectuses, covering the registration of the Common Shares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as amended, including the exhibits and schedules thereto, at the time it became effective, including the information, if any, deemed to be part of the registration statement at the time of its effectiveness pursuant to Rule 430C under the Securities Act, and all documents incorporated or deemed to be incorporated therein by reference pursuant to the final rule and form amendments adopted by the Commission to implement certain provisions of the Economic Growth, Regulatory Relief, and Consumer Protection Act (“</w:t>
      </w:r>
      <w:r>
        <w:rPr>
          <w:rFonts w:ascii="Times New Roman" w:cs="Times New Roman" w:eastAsia="Times New Roman" w:hAnsi="Times New Roman"/>
          <w:sz w:val="18"/>
          <w:szCs w:val="18"/>
          <w:b w:val="1"/>
          <w:bCs w:val="1"/>
          <w:color w:val="auto"/>
        </w:rPr>
        <w:t>CEF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dated as of October 21, 2026, included in the Registration Statement at the time</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it became effective on October 21, 2026 (including the information, if any, deemed to be part of the Registration Statement at the time of effectiveness pursuant to Rule 430C under the Securities Act), in the form in which it was distributed, is hereinafter referred to as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prospectus supplement dated October 23, 2026, filed with the Commission pursuant to Rule 424(b) under the Securities Act, or any other prospectus supplements filed pursuant to Rule 424(b) under the Securities Act and all documents incorporated or deemed to be incorporated therein by reference, and to be used to confirm sales is hereinafter referred to, together with the Base Prospectus,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Fund has filed an abbreviated registration statement to register additional Common Shares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“Registration Statement” shall be deemed to include such Rule 462 Registration Statement.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 has entered into (i) an investment advisory agreement with the Adviser dated as of April 1, 2025 (“</w:t>
      </w:r>
      <w:r>
        <w:rPr>
          <w:rFonts w:ascii="Times New Roman" w:cs="Times New Roman" w:eastAsia="Times New Roman" w:hAnsi="Times New Roman"/>
          <w:sz w:val="18"/>
          <w:szCs w:val="18"/>
          <w:b w:val="1"/>
          <w:bCs w:val="1"/>
          <w:color w:val="auto"/>
        </w:rPr>
        <w:t>Investment Advisory Agreemen</w:t>
      </w:r>
      <w:r>
        <w:rPr>
          <w:rFonts w:ascii="Times New Roman" w:cs="Times New Roman" w:eastAsia="Times New Roman" w:hAnsi="Times New Roman"/>
          <w:sz w:val="18"/>
          <w:szCs w:val="18"/>
          <w:color w:val="auto"/>
        </w:rPr>
        <w:t>t”),</w:t>
      </w:r>
    </w:p>
    <w:p>
      <w:pPr>
        <w:spacing w:after="0" w:line="31"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custody agreement with The Bank of New York Mellon Trust Company, National Association dated as of April 1, 2025 (the “</w:t>
      </w:r>
      <w:r>
        <w:rPr>
          <w:rFonts w:ascii="Times New Roman" w:cs="Times New Roman" w:eastAsia="Times New Roman" w:hAnsi="Times New Roman"/>
          <w:sz w:val="18"/>
          <w:szCs w:val="18"/>
          <w:b w:val="1"/>
          <w:bCs w:val="1"/>
          <w:color w:val="auto"/>
        </w:rPr>
        <w:t>Custody Agreement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administration agreement with the Administrator dated as of April 1, 2025 (the “</w:t>
      </w:r>
      <w:r>
        <w:rPr>
          <w:rFonts w:ascii="Times New Roman" w:cs="Times New Roman" w:eastAsia="Times New Roman" w:hAnsi="Times New Roman"/>
          <w:sz w:val="18"/>
          <w:szCs w:val="18"/>
          <w:b w:val="1"/>
          <w:bCs w:val="1"/>
          <w:color w:val="auto"/>
        </w:rPr>
        <w:t>Administration Agreement</w:t>
      </w:r>
      <w:r>
        <w:rPr>
          <w:rFonts w:ascii="Times New Roman" w:cs="Times New Roman" w:eastAsia="Times New Roman" w:hAnsi="Times New Roman"/>
          <w:sz w:val="18"/>
          <w:szCs w:val="18"/>
          <w:color w:val="auto"/>
        </w:rPr>
        <w:t>”), and (iv) a transfer agency and registrar services agreement with Equiniti Trust Company, LLC dated as of April 1, 2025 (the “</w:t>
      </w:r>
      <w:r>
        <w:rPr>
          <w:rFonts w:ascii="Times New Roman" w:cs="Times New Roman" w:eastAsia="Times New Roman" w:hAnsi="Times New Roman"/>
          <w:sz w:val="18"/>
          <w:szCs w:val="18"/>
          <w:b w:val="1"/>
          <w:bCs w:val="1"/>
          <w:color w:val="auto"/>
        </w:rPr>
        <w:t>Transfer Agency Agreement</w:t>
      </w:r>
      <w:r>
        <w:rPr>
          <w:rFonts w:ascii="Times New Roman" w:cs="Times New Roman" w:eastAsia="Times New Roman" w:hAnsi="Times New Roman"/>
          <w:sz w:val="18"/>
          <w:szCs w:val="18"/>
          <w:color w:val="auto"/>
        </w:rPr>
        <w:t>”). Collectively, the Investment Advisory Agreement, the Custodian Agreement, the Administration Agreement, and the Transfer Agency Agreement are herein referred to as the “</w:t>
      </w:r>
      <w:r>
        <w:rPr>
          <w:rFonts w:ascii="Times New Roman" w:cs="Times New Roman" w:eastAsia="Times New Roman" w:hAnsi="Times New Roman"/>
          <w:sz w:val="18"/>
          <w:szCs w:val="18"/>
          <w:b w:val="1"/>
          <w:bCs w:val="1"/>
          <w:color w:val="auto"/>
        </w:rPr>
        <w:t>Fund Agreements</w:t>
      </w:r>
      <w:r>
        <w:rPr>
          <w:rFonts w:ascii="Times New Roman" w:cs="Times New Roman" w:eastAsia="Times New Roman" w:hAnsi="Times New Roman"/>
          <w:sz w:val="18"/>
          <w:szCs w:val="18"/>
          <w:color w:val="auto"/>
        </w:rPr>
        <w:t>.” In addition, the Fund has adopted a dividend reinvestment plan (the “</w:t>
      </w:r>
      <w:r>
        <w:rPr>
          <w:rFonts w:ascii="Times New Roman" w:cs="Times New Roman" w:eastAsia="Times New Roman" w:hAnsi="Times New Roman"/>
          <w:sz w:val="18"/>
          <w:szCs w:val="18"/>
          <w:b w:val="1"/>
          <w:bCs w:val="1"/>
          <w:color w:val="auto"/>
        </w:rPr>
        <w:t>Dividend Reinvestment Plan</w:t>
      </w:r>
      <w:r>
        <w:rPr>
          <w:rFonts w:ascii="Times New Roman" w:cs="Times New Roman" w:eastAsia="Times New Roman" w:hAnsi="Times New Roman"/>
          <w:sz w:val="18"/>
          <w:szCs w:val="18"/>
          <w:color w:val="auto"/>
        </w:rPr>
        <w:t>”) pursuant to which holders of Common Shares shall have their distributions automatically reinvested in additional Common Shares unless such holders elect to receive such distributions in cash.</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and the Securities Act are hereinafter referred to collectively as the “</w:t>
      </w:r>
      <w:r>
        <w:rPr>
          <w:rFonts w:ascii="Times New Roman" w:cs="Times New Roman" w:eastAsia="Times New Roman" w:hAnsi="Times New Roman"/>
          <w:sz w:val="18"/>
          <w:szCs w:val="18"/>
          <w:b w:val="1"/>
          <w:bCs w:val="1"/>
          <w:color w:val="auto"/>
        </w:rPr>
        <w:t>Acts</w:t>
      </w:r>
      <w:r>
        <w:rPr>
          <w:rFonts w:ascii="Times New Roman" w:cs="Times New Roman" w:eastAsia="Times New Roman" w:hAnsi="Times New Roman"/>
          <w:sz w:val="18"/>
          <w:szCs w:val="18"/>
          <w:color w:val="auto"/>
        </w:rPr>
        <w:t>,” and the rules and regulations of the Commission under the Acts and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are hereinafter referred to collectively as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and the Prospectus, or any amendments or supplements to any of the foregoing shall be deemed to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system.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of each sale of any Common Shares pursuant to this Agreement as agreed by the Fund and the Placement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w:t>
      </w:r>
    </w:p>
    <w:p>
      <w:pPr>
        <w:spacing w:after="0" w:line="18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Placements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time that the Fund wishes to issue and sell the Common Shares hereunder (each, a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it will notify a Placement Agent (the “</w:t>
      </w:r>
      <w:r>
        <w:rPr>
          <w:rFonts w:ascii="Times New Roman" w:cs="Times New Roman" w:eastAsia="Times New Roman" w:hAnsi="Times New Roman"/>
          <w:sz w:val="18"/>
          <w:szCs w:val="18"/>
          <w:b w:val="1"/>
          <w:bCs w:val="1"/>
          <w:color w:val="auto"/>
        </w:rPr>
        <w:t>Designated Agent</w:t>
      </w:r>
      <w:r>
        <w:rPr>
          <w:rFonts w:ascii="Times New Roman" w:cs="Times New Roman" w:eastAsia="Times New Roman" w:hAnsi="Times New Roman"/>
          <w:sz w:val="18"/>
          <w:szCs w:val="18"/>
          <w:color w:val="auto"/>
        </w:rPr>
        <w:t>”) by email notice (or other method mutually agreed to in writing by the parties) containing the parameters in accordance with which it desires the Common Shares to be sold, which shall at a minimum include the number of Common Shares to be issued and sold (the “</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the time period during which sales are requested to be made, any limitation on the number of Common Shares that may be sold in any one day and any minimum price below which sales may not be made (a “</w:t>
      </w:r>
      <w:r>
        <w:rPr>
          <w:rFonts w:ascii="Times New Roman" w:cs="Times New Roman" w:eastAsia="Times New Roman" w:hAnsi="Times New Roman"/>
          <w:sz w:val="18"/>
          <w:szCs w:val="18"/>
          <w:b w:val="1"/>
          <w:bCs w:val="1"/>
          <w:color w:val="auto"/>
        </w:rPr>
        <w:t>Placement Notice</w:t>
      </w:r>
      <w:r>
        <w:rPr>
          <w:rFonts w:ascii="Times New Roman" w:cs="Times New Roman" w:eastAsia="Times New Roman" w:hAnsi="Times New Roman"/>
          <w:sz w:val="18"/>
          <w:szCs w:val="18"/>
          <w:color w:val="auto"/>
        </w:rPr>
        <w:t xml:space="preserve">”), a form of which containing such necessary minimum sales parameters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Fund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 copy to each of the other individuals from the Fund listed on such schedule), and shall be addressed to each of the individuals from the Designated Agent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amended from time to time.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Placement Notice shall be effective upon receipt by the Fund of the Designated Agent’s written acceptance of the terms of the Placement Notice unless and until (i) the entire amount of the Placement Shares has been sold, (ii) in accordance with the notice requirements set forth in the second sentence of this paragraph, the Fund terminates the Placement Notice, (iii) the Fund issues a subsequent Placement Notice with parameters superseding those on the earlier dated Placement Notice, (iv) this Agreement has been terminated under the provisions of Section 12 or (v) either party shall have suspended the sale of the Placement Shares in accordance with Section 4 below. The amount of any discount, commission or other compensation to be paid by the Fund to the Designated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It is expressly acknowledged and agreed that neither the Fund nor the Designated Agent will have any obligation whatsoever with respect to a Placement or any Placement Shares unless and until the Fund delivers a Placement Notice to the Designated Agent and the Designated Agent accepts in writing the terms of such Placement Notice, and then only upon the terms specified in the Placement Notice and herein. In the event of a conflict between the terms of this Agreement and the terms of a Placement Notice, the terms of the Placement Notice will control.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12" w:right="339" w:bottom="1440" w:gutter="0" w:footer="0" w:header="0"/>
        </w:sectPr>
      </w:pPr>
    </w:p>
    <w:bookmarkStart w:id="5" w:name="page6"/>
    <w:bookmarkEnd w:id="5"/>
    <w:p>
      <w:pPr>
        <w:ind w:left="1300" w:hanging="644"/>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Placement Shares by the Placement Agents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provisions of Section 7(a), the Designated Agent, for the period specified in the Placement Notice, will use its commercially reasonable efforts consistent with its normal trading and sales practices to sell the Placement Shares up to the amount specified, and otherwise in accordance with the terms of such Placement Notice. The Designated Agent will provide written confirmation to the Fund no later than the opening of the Trading Day (as defined below) immediately following the Trading Day on which it has made sales of Placement Shares hereunder setting forth the number of Placement Shares sold on such day, the compensation payable by the Fund to the Designated Agent pursuant to Section 2 with respect to such sales, and the Net Proceeds (as defined in Section 7(b)) payable to the Fund, with an itemization of the deductions made by the Designated Agent (as set forth in Section 7(b)) from the gross proceeds that it receives from such sales. Subject to the terms of the Placement Notice, the Designated Agent may sell Placement Shares by any method permitted by law deemed to be an “at the market” offering as defined in Rule 415 of the Securities Act. For the purposes hereof,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Common Shares are purchased and sold on the principal market on which the Common Shares are listed or quoted.</w:t>
      </w:r>
    </w:p>
    <w:p>
      <w:pPr>
        <w:spacing w:after="0" w:line="177"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Suspensions of Sales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17" w:lineRule="auto"/>
        <w:tabs>
          <w:tab w:leader="none" w:pos="19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Section 4(a) shall be effective against the other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31" w:lineRule="auto"/>
        <w:tabs>
          <w:tab w:leader="none" w:pos="193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sales of Placement Shares shall take place, the Fund shall not request the sale of any Placement Shares that would be sold, and the Designated Agent shall not be obligated to sell Placement Shares, during any period in which the Fund is in possession of material non-public information.</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Fund, the Adviser and the Administrator</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Fund, the Adviser and the Administrator, jointly and severally, represent and warrant to and agree with each of the Placement Agents as of the date hereof and as of each Representation Date (as defined below) on which a certificate is required to be delivered pursuant to Section 9(m), as of each Applicable Time and as of each Settlement Date (as defined below) as follows:</w:t>
      </w:r>
    </w:p>
    <w:p>
      <w:pPr>
        <w:spacing w:after="0" w:line="162" w:lineRule="exact"/>
        <w:rPr>
          <w:sz w:val="20"/>
          <w:szCs w:val="20"/>
          <w:color w:val="auto"/>
        </w:rPr>
      </w:pPr>
    </w:p>
    <w:p>
      <w:pPr>
        <w:jc w:val="both"/>
        <w:ind w:firstLine="1304"/>
        <w:spacing w:after="0" w:line="217" w:lineRule="auto"/>
        <w:tabs>
          <w:tab w:leader="none" w:pos="1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filed with, and declared effective by, the Commission; no notice of objection of the Commission to the use of such Registration Statement or any post-effective amendment thereto or the use of the Prospectus has been received by the Fund; no stop order suspending the effectiveness of the Registration Statement is in effect, and no proceedings for such purpose are pending before or, to the knowledge of the Fund, threatened by the Commission. The Prospectus delivered to the Placement Agents for use in connection with this offering was and will be identical in all material respects to the electronically transmitted copies thereof filed with the Commission pursuant to EDGAR, except to the extent permitted by Regulation S-T. At the time of filing the Registration Statement and any post-effective amendments thereto, and at the date hereof, the Fund was not and is not an “ineligible issuer,” as defined in Rule 405 of the Rules and Regulations.</w:t>
      </w:r>
    </w:p>
    <w:p>
      <w:pPr>
        <w:spacing w:after="0" w:line="174"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respective times the Registration Statement and any post-effective amendment thereto became or becomes effective, the Registration Statement and any post-effective amendment thereto complied and will comply in all material respects with the requirements of the Acts and the Rules and Regulations and did not and will not contain an untrue statement of a material fact or omit to state a material fact required to be stated therein or necessary to make the statements therein not misleading. Neither the Prospectus nor any amendment or supplement thereto, contained or will contain an untrue statement of a material fact or omitted or will omit to state a material fact required to be stated therein or necessary in order to make the statements therein, in the light of the circumstances under which they were made, not misleading. The Prospectus, at each Applicable Time, did not contain an untrue statement of a material fact or omitted or will omit to state a material fact required to be stated therein or necessary in order to make the statements therein, in the light of the circumstances under which they were made, not misleading. The representations and warranties in this paragraph do not apply to statements in or omissions from the Registration Statement or the Prospectus made solely in reliance upon and in conformity with written information furnished to the Fund by a Placement Agent for use in the Registration Statement or Prospectus, it being understood and agreed that the only such information furnished by the Placement Agents to the Fund consists of “Agents’ Information” as defined below.</w:t>
      </w:r>
    </w:p>
    <w:p>
      <w:pPr>
        <w:spacing w:after="0" w:line="166"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been duly organized and is validly existing in good standing as a statutory trust under the laws of the State of Delaware. The Fund has full power and authority to own its property and to conduct its business as described in the Registration Statement and the Prospectus and to enter into and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5" w:right="339" w:bottom="1440" w:gutter="0" w:footer="0" w:header="0"/>
        </w:sectPr>
      </w:pPr>
    </w:p>
    <w:bookmarkStart w:id="6" w:name="page7"/>
    <w:bookmarkEnd w:id="6"/>
    <w:p>
      <w:pPr>
        <w:spacing w:after="0" w:line="222" w:lineRule="auto"/>
        <w:rPr>
          <w:sz w:val="20"/>
          <w:szCs w:val="20"/>
          <w:color w:val="auto"/>
        </w:rPr>
      </w:pPr>
      <w:r>
        <w:rPr>
          <w:rFonts w:ascii="Times New Roman" w:cs="Times New Roman" w:eastAsia="Times New Roman" w:hAnsi="Times New Roman"/>
          <w:sz w:val="18"/>
          <w:szCs w:val="18"/>
          <w:color w:val="auto"/>
        </w:rPr>
        <w:t>and is in good standing and is duly qualified to transact business in each jurisdiction in which the conduct of its business or its ownership or leasing of property requires such qualification, except to the extent that the failure to be so qualified or to be in good standing would not have a material adverse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the condition, financial or otherwise, or on the prospects, earnings, business or operations of the Fund (a “</w:t>
      </w:r>
      <w:r>
        <w:rPr>
          <w:rFonts w:ascii="Times New Roman" w:cs="Times New Roman" w:eastAsia="Times New Roman" w:hAnsi="Times New Roman"/>
          <w:sz w:val="18"/>
          <w:szCs w:val="18"/>
          <w:b w:val="1"/>
          <w:bCs w:val="1"/>
          <w:color w:val="auto"/>
        </w:rPr>
        <w:t>Fund Material Adverse Effect</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304"/>
        <w:spacing w:after="0" w:line="231" w:lineRule="auto"/>
        <w:tabs>
          <w:tab w:leader="none" w:pos="1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subsidiaries of the Fund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Fund Material Adverse Effect</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and at all times through the completion of the transactions contemplated hereby will be, in compliance in all material respects with the applicable terms and conditions of the Acts and the Rules and Regulations. To the Fund’s knowledge, no person is serving or acting as an officer or director of, or investment adviser to, the Fund except in accordance with the provisions of the Investment Company Act and the Advisers Act of 1940, as amended, including the rules and regulations thereunder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Except as otherwise disclosed in the Registration Statement and the Prospectus, to the Fund’s knowledge, no director of the Fund is an “interested person” of the Fund or an “affiliated person” of a Placement Agent (each as defined in the Investment Company Act).</w:t>
      </w:r>
    </w:p>
    <w:p>
      <w:pPr>
        <w:spacing w:after="0" w:line="157"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has been duly authorized, executed and delivered by the Fund. Each Fund Agreement complies with all applicable provisions of the Acts, the Advisers Act and the applicable Rules and Regulations. Assuming the due and valid authorization, execution and delivery by the other parties thereto, each Fund Agreement represents a valid and binding agreement of the Fund, enforceable against the Fund in accordance with its terms, except as rights to indemnity and contribution may be limited by federal or state securities laws or principles of public policy and subject to the qualification that the enforceability of the Fund’s obligations thereunder may be limited by bankruptcy, fraudulent conveyance, insolvency, reorganization, receivership, moratorium, and other laws relating to or affecting creditors’ rights generally and by general equitable principles (including without limitation the availability of specific performance or injunctive relief and the application of concepts of materiality, reasonableness, good faith and fair dealing) whether enforcement is considered in a proceeding in equity or at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neither the Fund nor the Adviser makes any representation or warranty as to the effect on the representations and warranties expressed herein of (i) the compliance and noncompliance of any other party (other than the Fund) to any of the foregoing Fund Agreements with state, federal or other laws or regulations applicable to it or them or (ii) the legal or regulatory status or nature of the business of such other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(1) the execution and delivery by the Fund of, and the performance by the Fund of its obligations under, this Agreement or (2) the issue and sale by the Fund of the Common Shares as contemplated by this Agreement conflicts with or will conflict with, result in, or constitute a violation, breach of or default under, (x) the certificate of trust of the Fund, as amended to date (the “</w:t>
      </w:r>
      <w:r>
        <w:rPr>
          <w:rFonts w:ascii="Times New Roman" w:cs="Times New Roman" w:eastAsia="Times New Roman" w:hAnsi="Times New Roman"/>
          <w:sz w:val="18"/>
          <w:szCs w:val="18"/>
          <w:b w:val="1"/>
          <w:bCs w:val="1"/>
          <w:color w:val="auto"/>
        </w:rPr>
        <w:t>Certificate of Trust</w:t>
      </w:r>
      <w:r>
        <w:rPr>
          <w:rFonts w:ascii="Times New Roman" w:cs="Times New Roman" w:eastAsia="Times New Roman" w:hAnsi="Times New Roman"/>
          <w:sz w:val="18"/>
          <w:szCs w:val="18"/>
          <w:color w:val="auto"/>
        </w:rPr>
        <w:t>”), or the bylaws of the Fund, as amended to date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(y) any agreement, indenture, note, bond, license, lease or other instrument or obligation binding upon the Fund that is material to the Fund or (z) any law, rule or regulation applicable to the Fund or any judgment, order or decree of any governmental body, agency or court having jurisdiction over the Fund, whether foreign or domestic; except, with respect to clauses (y) or (z), any contravention which would have neither (i) a Fund Material Adverse Effect or (ii) a material adverse effect on the consummation of the transactions contemplated by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representation or warranty is made with respect to compliance with the laws of any jurisdiction outside of the United States in connection with the offer or sale of the Common Shares in such jurisdiction by the Placement Agents.</w:t>
      </w:r>
    </w:p>
    <w:p>
      <w:pPr>
        <w:spacing w:after="0" w:line="174" w:lineRule="exact"/>
        <w:rPr>
          <w:rFonts w:ascii="Times New Roman" w:cs="Times New Roman" w:eastAsia="Times New Roman" w:hAnsi="Times New Roman"/>
          <w:sz w:val="18"/>
          <w:szCs w:val="18"/>
          <w:color w:val="auto"/>
        </w:rPr>
      </w:pPr>
    </w:p>
    <w:p>
      <w:pPr>
        <w:jc w:val="both"/>
        <w:ind w:firstLine="1304"/>
        <w:spacing w:after="0" w:line="228" w:lineRule="auto"/>
        <w:tabs>
          <w:tab w:leader="none" w:pos="193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authorization, order or permit of, license from, or qualification with, any governmental body, agency or authority, self-regulatory organization or court or other tribunal, whether foreign or domestic, is required to be obtained by the Fund prior to the Settlement Date for the performance by the Fund of its obligations under this Agreement or the Fund Agreements, except such as have been obtained and as may be required by (i) the Acts, the Advisers Act, the Exchange Act or the applicable Rules and Regulations, (ii) the rules and regulations of the Financial Industry Regulatory Authority, Inc., including legacy NASD rules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or of the New York Stock Exchange (“</w:t>
      </w:r>
      <w:r>
        <w:rPr>
          <w:rFonts w:ascii="Times New Roman" w:cs="Times New Roman" w:eastAsia="Times New Roman" w:hAnsi="Times New Roman"/>
          <w:sz w:val="17"/>
          <w:szCs w:val="17"/>
          <w:b w:val="1"/>
          <w:bCs w:val="1"/>
          <w:color w:val="auto"/>
        </w:rPr>
        <w:t>NYSE</w:t>
      </w:r>
      <w:r>
        <w:rPr>
          <w:rFonts w:ascii="Times New Roman" w:cs="Times New Roman" w:eastAsia="Times New Roman" w:hAnsi="Times New Roman"/>
          <w:sz w:val="17"/>
          <w:szCs w:val="17"/>
          <w:color w:val="auto"/>
        </w:rPr>
        <w:t>”), (iii) the securities or “blue sky” laws of the various states and foreign jurisdictions in connection with the offer and sale of the Common Shares or (iv) such as which the failure to obtain would have neither (x) a Fund Material Adverse Effect or (y) a material adverse effect on the consummation of the transactions contemplated by this Agreement.</w:t>
      </w:r>
    </w:p>
    <w:p>
      <w:pPr>
        <w:spacing w:after="0" w:line="171" w:lineRule="exact"/>
        <w:rPr>
          <w:rFonts w:ascii="Times New Roman" w:cs="Times New Roman" w:eastAsia="Times New Roman" w:hAnsi="Times New Roman"/>
          <w:sz w:val="17"/>
          <w:szCs w:val="17"/>
          <w:color w:val="auto"/>
        </w:rPr>
      </w:pPr>
    </w:p>
    <w:p>
      <w:pPr>
        <w:jc w:val="both"/>
        <w:ind w:firstLine="1304"/>
        <w:spacing w:after="0" w:line="226" w:lineRule="auto"/>
        <w:tabs>
          <w:tab w:leader="none" w:pos="1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shares of beneficial interest conform in all material respects to the description thereof under the heading “Description of the Fund’s Securities” in each of the Registration Statement and the Prospectus, and this Agreement, the Certificate of Trust, the By-Laws and the Fund Agreements conform in all material respects to the descriptions thereof contained in each of the Registration Statement and the Prospectus.</w:t>
      </w:r>
    </w:p>
    <w:p>
      <w:pPr>
        <w:spacing w:after="0" w:line="171" w:lineRule="exact"/>
        <w:rPr>
          <w:rFonts w:ascii="Times New Roman" w:cs="Times New Roman" w:eastAsia="Times New Roman" w:hAnsi="Times New Roman"/>
          <w:sz w:val="18"/>
          <w:szCs w:val="18"/>
          <w:color w:val="auto"/>
        </w:rPr>
      </w:pPr>
    </w:p>
    <w:p>
      <w:pPr>
        <w:jc w:val="both"/>
        <w:ind w:right="20" w:firstLine="1304"/>
        <w:spacing w:after="0" w:line="226" w:lineRule="auto"/>
        <w:tabs>
          <w:tab w:leader="none" w:pos="1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Certificate of Trust and the By-Laws comply with all applicable provisions of the Acts, the Advisers Act and the applicable Rules and Regulations, and all approvals of such documents required under the Investment Company Act by the Fund’s shareholders and, to the extent applicable, Board of Trustees have been obtained and are in full force and effect.</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Agreements are in full force and effect and neither the Fund nor, to the knowledge of the Fund, any other party to any such agreement is in default thereunder, and no event has occurred which with the passage of time or the giving of notice or both would constitute a default by the Fund thereunder, and the Fund is not currently in breach of,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9" w:right="339" w:bottom="1440" w:gutter="0" w:footer="0" w:header="0"/>
        </w:sectPr>
      </w:pPr>
    </w:p>
    <w:bookmarkStart w:id="7" w:name="page8"/>
    <w:bookmarkEnd w:id="7"/>
    <w:p>
      <w:pPr>
        <w:ind w:right="20"/>
        <w:spacing w:after="0" w:line="237" w:lineRule="auto"/>
        <w:rPr>
          <w:sz w:val="20"/>
          <w:szCs w:val="20"/>
          <w:color w:val="auto"/>
        </w:rPr>
      </w:pPr>
      <w:r>
        <w:rPr>
          <w:rFonts w:ascii="Times New Roman" w:cs="Times New Roman" w:eastAsia="Times New Roman" w:hAnsi="Times New Roman"/>
          <w:sz w:val="18"/>
          <w:szCs w:val="18"/>
          <w:color w:val="auto"/>
        </w:rPr>
        <w:t>in default under, any other written agreement or instrument to which it or its property is bound or affected, the default under or breach of which could reasonably be expected to have a Fund Material Adverse Effect.</w:t>
      </w:r>
    </w:p>
    <w:p>
      <w:pPr>
        <w:spacing w:after="0" w:line="172" w:lineRule="exact"/>
        <w:rPr>
          <w:sz w:val="20"/>
          <w:szCs w:val="20"/>
          <w:color w:val="auto"/>
        </w:rPr>
      </w:pPr>
    </w:p>
    <w:p>
      <w:pPr>
        <w:jc w:val="both"/>
        <w:ind w:firstLine="1304"/>
        <w:spacing w:after="0" w:line="220"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outstanding prior to the date hereof, have been duly authorized and are validly issued, fully paid and non-assessable. None of the outstanding Common Shares or any other shares of beneficial interest of the Fund was issued in violation of any preemptive or other similar rights. Other than as contemplated in the Registration Statement and the Prospectus, no options, warrants or other rights to purchase, agreements or other obligations to issue, or rights to convert any obligations into or exchange any securities for, shares of beneficial interest of or ownership interests in the Fund are outstanding.</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duly authorized and, when issued and delivered in accordance with the terms of this Agreement, will be validly issued, fully paid and non-assessable, and the issuance of the Common Shares will not be subject to any preemptive or similar rights. The Common Shares conform to the descriptions thereof under the heading “Description of the Fund’s Common Shares” contained in the Registration Statement and such description conforms in all material respects to the rights set forth in the instruments defining the same.</w:t>
      </w:r>
    </w:p>
    <w:p>
      <w:pPr>
        <w:spacing w:after="0" w:line="172"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submit a supplemental listing application for the listing of the Common Shares on the NYSE and use its best efforts to maintain such listing, subject to official notice of issuance.</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questionnaires relating to FINRA Rule 5110 provided to the Placement Agents or their counsel in connection with letters, filings or other supplemental information provided to FINRA pursuant to FINRA’s conduct rules (Rules 5100, 5110 or 5121) are, to the Fund’s knowledge, true and correct in all material respects.</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reasonably likely to involve a prospective material adverse change, in the condition, financial or otherwise, or in the prospects, earnings, business or operations of the Fund, and there have been no transactions entered into by the Fund which are material to the Fund, other than those in the ordinary course of its business.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Fund, threatened to which the Fund is a party or to which any of the properties of the Fund is subject (i) other than proceedings accurately described in all material respects in the Prospectus and proceedings that would not have a Fund Material Adverse Effect, or that would not have a material adverse effect on the power or ability of the Fund to perform its obligations under this Agreement or to consummate the transactions contemplated by the Prospectus or (ii) that are required to be described in the Registration Statement or the Prospectus and are not so described. Each officer signing or delivering a certificate pursuant to this Agreement may rely upon his or her knowledge as to legal or governmental proceedings threatened.</w:t>
      </w:r>
    </w:p>
    <w:p>
      <w:pPr>
        <w:spacing w:after="0" w:line="157"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Registration Statement and the Prospectus under the headings “Prospectus Supplement Summary-Operating and Regulatory Structure,” “Prospectus Supplement Summary-Conflicts of Interest” and in the Base Prospectus under the captions “Prospectus Summary-Operating and Regulatory Structure,” “Prospectus Summary-Conflicts of Interest,” “The Adviser and the Administrator-The Investment Advisory Agreement,” “The Adviser and the Administrator-The Administrator and the Administration Agreement,” “Regulation as a Closed-End Management Investment Company,” “U.S. Federal Income Tax Matters” and “Description of the Fund’s Common Shares” insofar as such statements summarize legal matters, agreements, documents or proceedings discussed therein, are accurate and fair summaries of such legal matters, agreements, documents or proceedings.</w:t>
      </w:r>
    </w:p>
    <w:p>
      <w:pPr>
        <w:spacing w:after="0" w:line="174"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be, or to have been, in compliance with such laws would not, individually or in the aggregate, reasonably be expected to have a Fund Material Adverse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 the Fund is, and since April 1, 2025, has been, in compliance in all material respects with all applicable laws, rules and regulations of the jurisdictions in which it is conducting business.</w:t>
      </w:r>
    </w:p>
    <w:p>
      <w:pPr>
        <w:spacing w:after="0" w:line="159"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Prospectus, except to the extent that the failure to obtain or file the foregoing would not result in a Fund Material Adverse Effect.</w:t>
      </w:r>
    </w:p>
    <w:p>
      <w:pPr>
        <w:spacing w:after="0" w:line="172"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the Prospectus, as of the respective dates thereof, complied as to form in all material respects with the Acts and the applicable Rules and Regulations.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and the Prospectus, together with the related notes thereto (collectively, the “</w:t>
      </w:r>
      <w:r>
        <w:rPr>
          <w:rFonts w:ascii="Times New Roman" w:cs="Times New Roman" w:eastAsia="Times New Roman" w:hAnsi="Times New Roman"/>
          <w:sz w:val="18"/>
          <w:szCs w:val="18"/>
          <w:b w:val="1"/>
          <w:bCs w:val="1"/>
          <w:color w:val="auto"/>
        </w:rPr>
        <w:t>Fund Financial Statements</w:t>
      </w:r>
      <w:r>
        <w:rPr>
          <w:rFonts w:ascii="Times New Roman" w:cs="Times New Roman" w:eastAsia="Times New Roman" w:hAnsi="Times New Roman"/>
          <w:sz w:val="18"/>
          <w:szCs w:val="18"/>
          <w:color w:val="auto"/>
        </w:rPr>
        <w:t>”), present fairly in all material respects the financial condition of the Fund as of the respective dates indicated, comply as to form in all material respects with the requirements of Regulation S-X under the Securities Act and have been prepared in conformity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supporting schedules to such Fund Financial Statements, if any, present fairly in accordance with GAAP the information required to be stated therein. PricewaterhouseCoopers LLP, whose report appears in the Registration Statement and the Prospectus and who have certified the audited Fund Financial Statements and supporting schedules, if any, included in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99" w:right="339" w:bottom="1440" w:gutter="0" w:footer="0" w:header="0"/>
        </w:sectPr>
      </w:pPr>
    </w:p>
    <w:bookmarkStart w:id="8" w:name="page9"/>
    <w:bookmarkEnd w:id="8"/>
    <w:p>
      <w:pPr>
        <w:spacing w:after="0" w:line="237" w:lineRule="auto"/>
        <w:rPr>
          <w:sz w:val="20"/>
          <w:szCs w:val="20"/>
          <w:color w:val="auto"/>
        </w:rPr>
      </w:pPr>
      <w:r>
        <w:rPr>
          <w:rFonts w:ascii="Times New Roman" w:cs="Times New Roman" w:eastAsia="Times New Roman" w:hAnsi="Times New Roman"/>
          <w:sz w:val="18"/>
          <w:szCs w:val="18"/>
          <w:color w:val="auto"/>
        </w:rPr>
        <w:t>Registration Statement, is an independent registered public accounting firm within the meaning of, and as required by, the Acts and the applicable Rules and Regulations.</w:t>
      </w:r>
    </w:p>
    <w:p>
      <w:pPr>
        <w:spacing w:after="0" w:line="172" w:lineRule="exact"/>
        <w:rPr>
          <w:sz w:val="20"/>
          <w:szCs w:val="20"/>
          <w:color w:val="auto"/>
        </w:rPr>
      </w:pPr>
    </w:p>
    <w:p>
      <w:pPr>
        <w:ind w:firstLine="1304"/>
        <w:spacing w:after="0" w:line="237" w:lineRule="auto"/>
        <w:tabs>
          <w:tab w:leader="none" w:pos="19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restrictions, limitations or regulations with respect to the ability of the Fund to invest its assets as described in the Registration Statement and the Prospectus, other than as described therein.</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any of its agents or representatives (other than the Placement Agents in their capacity as such) has prepared, made, used, authorized, approved or referred to any written communication that constitutes an offer to sell or solicitation of an offer to buy the Common Shares other than the Registration Statement and the Prospectus, and any amendment or supplement to any of the foregoing.</w:t>
      </w:r>
    </w:p>
    <w:p>
      <w:pPr>
        <w:spacing w:after="0" w:line="158"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and the Prospectus, (i) the Fund has not incurred any material liability or obligation, direct or contingent, nor entered into any material transaction; (ii) the Fund has not purchased any of its outstanding shares of beneficial interest, nor declared, paid or otherwise made any dividend or distribution of any kind on its shares of beneficial interest, other than ordinary and customary dividends; and (iii) there has not been any material change in the shares of beneficial interest, short-term debt or long-term debt of the Fund, except in each case as contemplated in the Registration Statement and the Prospectus, respectively.</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owns or possesses,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it, and the Fund has not received any notice of infringement of or conflict with asserted rights of others with respect to any of the foregoing which, singly or in the aggregate, if the subject of an unfavorable decision, ruling or finding, would have a Fund Material Adverse Effect.</w:t>
      </w:r>
    </w:p>
    <w:p>
      <w:pPr>
        <w:spacing w:after="0" w:line="172" w:lineRule="exact"/>
        <w:rPr>
          <w:sz w:val="20"/>
          <w:szCs w:val="20"/>
          <w:color w:val="auto"/>
        </w:rPr>
      </w:pPr>
    </w:p>
    <w:p>
      <w:pPr>
        <w:jc w:val="both"/>
        <w:ind w:firstLine="1304"/>
        <w:spacing w:after="0" w:line="226" w:lineRule="auto"/>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are listed on the NYSE under the ticker symbol “EARN.” The Fund has not received any notice that it is not in compliance with the listing or maintenance requirements of the NYSE with respect to the Common Shares. The Fund believes that it is, and has no reason to believe that it will not in the foreseeable future continue to be, in material compliance with all such listing and maintenance requirements.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Sarbanes-Oxley Act of 2002, as amended, and the rules and regulations promulgated by the Commission and the NYSE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have been applicable to the Fund, there is and has been no failure on the part of the Fund to comply with any applicable provision of the Sarbanes-Oxley Act that would reasonably be expected to have a Fund Material Adverse Effect.</w:t>
      </w:r>
    </w:p>
    <w:p>
      <w:pPr>
        <w:spacing w:after="0" w:line="171"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maintains a system of internal accounting controls sufficient to provide reasonable assurance that (i) transactions are executed in accordance with management’s general or specific authorizations and with the applicable requirements of the Acts; (ii) transactions are recorded as necessary to permit preparation of financial statements in conformity with GAAP and to maintain asset accountability and compliance with the books and records requirements under the Acts;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date of the Fund’s most recent audited financial statements included in the Prospectus, there has been (i) no material weakness in the Fund’s internal control over financial reporting (whether or not remediated); (ii) no fraud, whether or not material, that involves management or employees who have a role in the Fund’s internal controls; and (iii) no change in the Fund’s internal control over financial reporting that has materially affected, or is reasonably likely to materially affect, the Fund’s internal control over financial reporting.</w:t>
      </w:r>
    </w:p>
    <w:p>
      <w:pPr>
        <w:spacing w:after="0" w:line="174" w:lineRule="exact"/>
        <w:rPr>
          <w:rFonts w:ascii="Times New Roman" w:cs="Times New Roman" w:eastAsia="Times New Roman" w:hAnsi="Times New Roman"/>
          <w:sz w:val="18"/>
          <w:szCs w:val="18"/>
          <w:color w:val="auto"/>
        </w:rPr>
      </w:pPr>
    </w:p>
    <w:p>
      <w:pPr>
        <w:ind w:firstLine="1304"/>
        <w:spacing w:after="0" w:line="237" w:lineRule="auto"/>
        <w:tabs>
          <w:tab w:leader="none" w:pos="19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in the Registration Statement and the Prospectus are based on or derived from sources that the Fund believes to be reliable and accurate.</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maintains “disclosure controls and procedures” (as such term is defined in Rule30a-3 under the Investment Company Act); such disclosure controls and procedures are effective as required by the Investment Company Act and the applicable Rules and Regulations. Since April 1, 2025, the Fund has timely filed all certifications and statements that the Fund is required to file under Rule 30a-3 of the Investment Company Act.</w:t>
      </w:r>
    </w:p>
    <w:p>
      <w:pPr>
        <w:spacing w:after="0" w:line="158" w:lineRule="exact"/>
        <w:rPr>
          <w:rFonts w:ascii="Times New Roman" w:cs="Times New Roman" w:eastAsia="Times New Roman" w:hAnsi="Times New Roman"/>
          <w:sz w:val="18"/>
          <w:szCs w:val="18"/>
          <w:color w:val="auto"/>
        </w:rPr>
      </w:pPr>
    </w:p>
    <w:p>
      <w:pPr>
        <w:jc w:val="both"/>
        <w:ind w:right="20" w:firstLine="1304"/>
        <w:spacing w:after="0" w:line="231" w:lineRule="auto"/>
        <w:tabs>
          <w:tab w:leader="none" w:pos="19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documents which are required to be described in the Registration Statement or the Prospectus (or the documents incorporated by reference therein) or to be filed as exhibits thereto by the Securities Act or the Investment Company Act which have not been so described and filed as required.</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Fund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Fund with respect to the Money Laundering Laws is pending or, to the knowledge of the Fund, threatened.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99" w:right="339" w:bottom="1440" w:gutter="0" w:footer="0" w:header="0"/>
        </w:sectPr>
      </w:pPr>
    </w:p>
    <w:bookmarkStart w:id="9" w:name="page10"/>
    <w:bookmarkEnd w:id="9"/>
    <w:p>
      <w:pPr>
        <w:jc w:val="both"/>
        <w:ind w:firstLine="1304"/>
        <w:spacing w:after="0" w:line="216" w:lineRule="auto"/>
        <w:tabs>
          <w:tab w:leader="none" w:pos="19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to the knowledge of the Fund, any director, officer, agent, employee or affiliate of the Fund, the Adviser or the Administrator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Fund, the Adviser and the Administrator, and to the knowledge of the Fund, the Adviser and the Administrator, their affiliates have conducted their businesses in compliance with the FCPA and have instituted and maintain policies and procedures designed to ensure, and which are reasonably expected to continue to ensure, continued compliance therewith.</w:t>
      </w:r>
    </w:p>
    <w:p>
      <w:pPr>
        <w:spacing w:after="0" w:line="159"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to the knowledge of the Fund, any director, officer, agent, employee or affiliate of the Fund, the Adviser or the Administrator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none of the Fund, the Adviser and the Administrator will directly or indirectly use the proceeds of the offering, or lend, contribute or otherwise make available such proceeds to any subsidiary, joint venture partner or other person or entity, for the purpose of financing the activities of any person or any country or territory currently subject to any U.S. sanctions administered by OFAC.</w:t>
      </w:r>
    </w:p>
    <w:p>
      <w:pPr>
        <w:spacing w:after="0" w:line="171"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insured by insurers of recognized financial responsibility against such losses and risks and in such amounts as are prudent and customary in the businesses in which it is engaged; all policies of insurance insuring the Fund or its business, assets, employees, officers and directors, including the Fund’s directors and officers errors and omissions insurance policy and its fidelity bond required by Rule 17g-1 of the Rules and Regulations, are in full force and effect, and the Fund is in compliance with the terms of such policies and fidelity bond in all material respects; and there are no claims by the Fund under any such policies or fidelity bond as to which any insurance company is denying liability or defending under a reservation of rights clause; the Fund has not been refused any insurance coverage sought or applied for; and the Fund has no reason to believe that it will not be able to renew its existing insurance coverage and fidelity bond as and when such coverage and fidelity bond expires or to obtain similar coverage and fidelity bond from similar insurers as may be necessary to continue its business at a cost that would not result in a Fund Material Adverse Effect, except as set forth in or contemplated in the Registration Statement and the Prospectus (exclusive of any supplement thereto).</w:t>
      </w:r>
    </w:p>
    <w:p>
      <w:pPr>
        <w:spacing w:after="0" w:line="17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Registration Statement and the Prospectus, the Fund (i) does not have any material lending or other relationship with any bank or lending affiliate of a Placement Agent (the description of such arrangements and outstanding indebtedness thereunder is true, accurate and complete in all respects) and (ii) does not intend to use any of the proceeds from the sale of the Common Shares hereunder to repay any outstanding debt owed to any affiliate of a Placement Agent.</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business relationships or related-party transactions involving the Fund or any other person required to be described in the Registration Statement or the Prospectus which have not been described as required, it being understood and agreed that the Fund, the Adviser and the Administrator make no representation or warranty with respect to such relationships involving the Placement Agents or any affiliate and any other person that have not been disclosed to the Fund by the Placement Agents in connection with this offering.</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not taken, directly or indirectly, any action which constitutes or is designed to cause or result in, or which could reasonably be expected to constitute, cause or result in, the stabilization or manipulation of the price of any security to facilitate the sale or resale of the Common Shares.</w:t>
      </w:r>
    </w:p>
    <w:p>
      <w:pPr>
        <w:spacing w:after="0" w:line="14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owns, leases or has rights to use all such properties as are necessary to the conduct of its operations as presently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w:t>
      </w:r>
    </w:p>
    <w:p>
      <w:pPr>
        <w:spacing w:after="0" w:line="17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stock or other transfer taxes, stamp duties, capital duties or other similar duties, taxes or charges payable in connection with the execution or delivery of this Agreement by the Fund or the issuance or sale by the Fund of the Common Shares to be sold by the Fund to the Placement Agents hereunder.</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operates in compliance in all material respects with the requirements to be taxed as, and has duly elected to be taxed as (which election has not been revoked), a regulated investment company under Subchapter M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Fund intends to direct the investment of the net proceeds received by it from the sale of the Common Shares in the manner specified in the Registration Statement and the Prospectus under the caption “Use of Proceeds” and in such a manner as to continue to comply with the requirements of Subchapter M of the Code.</w:t>
      </w:r>
    </w:p>
    <w:p>
      <w:pPr>
        <w:spacing w:after="0" w:line="158"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held by the Fund, except as otherwise disclosed in the Registration Statement and the Prospectus, is, to the Fund’s knowledge, current, in all material respects, with all its obligations under the applicable terms of the investment, no event of default (or a default which with the giving of notice or the passage of time would become an event of default) has occurred in respect of such investment, except to the extent that any such failure to be current in any such obligations and any such default would not reasonably be expected to result in a Fund Material Adverse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99" w:right="339" w:bottom="1440" w:gutter="0" w:footer="0" w:header="0"/>
        </w:sectPr>
      </w:pPr>
    </w:p>
    <w:bookmarkStart w:id="10" w:name="page11"/>
    <w:bookmarkEnd w:id="10"/>
    <w:p>
      <w:pPr>
        <w:jc w:val="both"/>
        <w:ind w:firstLine="1304"/>
        <w:spacing w:after="0" w:line="215" w:lineRule="auto"/>
        <w:tabs>
          <w:tab w:leader="none" w:pos="19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Fund Material Adverse Effect, (i) the IT Systems (as defined below) are operational and adequate and sufficient for the current needs of the business of the Fund, (ii) to the knowledge of the Fund, there have been no unauthorized intrusions or breaches of the security, or material failures of the IT Systems currently used in the conduct of its business as it is currently conducted during the two-year period preceding the date hereof, (iii) the Fund has in place adequate and commercially reasonable security controls and backup and disaster recovery plans and procedures in place, and (iv) to the knowledge of the Fund, there have been no unauthorized intrusions or breaches of the IT Systems since April 1, 2025 that, pursuant to any legal requirement, would require the Fund to provide notice of such breach or intrusion. For purposes of this Agreement,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means the software, systems, servers, computers, hardware, firmware, middleware, networks, data communications lines, routers, hubs, switches and all other information technology and telecommunications assets, systems and equipment, and all associated documentation, in each case, owned, used, held for use, leased, outsourced or licensed by or for the Fund for use in the conduct of its business as currently conducted.</w:t>
      </w:r>
    </w:p>
    <w:p>
      <w:pPr>
        <w:spacing w:after="0" w:line="157" w:lineRule="exact"/>
        <w:rPr>
          <w:rFonts w:ascii="Times New Roman" w:cs="Times New Roman" w:eastAsia="Times New Roman" w:hAnsi="Times New Roman"/>
          <w:sz w:val="18"/>
          <w:szCs w:val="18"/>
          <w:color w:val="auto"/>
        </w:rPr>
      </w:pPr>
    </w:p>
    <w:p>
      <w:pPr>
        <w:jc w:val="both"/>
        <w:ind w:firstLine="1304"/>
        <w:spacing w:after="0" w:line="242" w:lineRule="auto"/>
        <w:tabs>
          <w:tab w:leader="none" w:pos="19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investment held by the Fund as of the date hereof, to the Fund’s knowledge, no event of default (or a default which with the giving of notice or the passage of time would become an event of default) has occurred in respect of such investment, except to the extent that any such default would not reasonably be expected to result in a Fund Material Adverse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w:t>
      </w:r>
    </w:p>
    <w:p>
      <w:pPr>
        <w:spacing w:after="0" w:line="1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or on behalf of the Fund and delivered to the Placement Agents or their counsel in connection with the offering of the Common Shares shall be deemed to a representation and warranty by the Fund as to the matters covered therein to the Placement Agents.</w:t>
      </w:r>
    </w:p>
    <w:p>
      <w:pPr>
        <w:spacing w:after="0" w:line="144"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Adviser and the Administrator</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Adviser and the Administrator represent and warrant to and agree with each of the Placement Agents as of the date hereof and as of each Representation Date (as defined below) on which a certificate is required to be delivered pursuant to Section 9(m), as of each Applicable Time and as of each Settlement Date (as defined below) as follows:</w:t>
      </w:r>
    </w:p>
    <w:p>
      <w:pPr>
        <w:spacing w:after="0" w:line="162" w:lineRule="exact"/>
        <w:rPr>
          <w:sz w:val="20"/>
          <w:szCs w:val="20"/>
          <w:color w:val="auto"/>
        </w:rPr>
      </w:pPr>
    </w:p>
    <w:p>
      <w:pPr>
        <w:jc w:val="both"/>
        <w:ind w:firstLine="1304"/>
        <w:spacing w:after="0" w:line="215"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Adviser and the Administrator has been duly formed and is validly existing as a limited liability company in good standing under the laws of the State of Delaware with the power and authority to own its property and to conduct its business as described in the Registration Statement and the Prospectus and enter into this Agreement and the other Fund Agreements to which the Adviser or the Administrator is a party, as the case may be,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or on the prospects, earnings, business or operations of the Adviser or the Administrator, as the case may be (an “</w:t>
      </w:r>
      <w:r>
        <w:rPr>
          <w:rFonts w:ascii="Times New Roman" w:cs="Times New Roman" w:eastAsia="Times New Roman" w:hAnsi="Times New Roman"/>
          <w:sz w:val="18"/>
          <w:szCs w:val="18"/>
          <w:b w:val="1"/>
          <w:bCs w:val="1"/>
          <w:color w:val="auto"/>
        </w:rPr>
        <w:t>Adviser/Administrator Material Adverse Effect</w:t>
      </w:r>
      <w:r>
        <w:rPr>
          <w:rFonts w:ascii="Times New Roman" w:cs="Times New Roman" w:eastAsia="Times New Roman" w:hAnsi="Times New Roman"/>
          <w:sz w:val="18"/>
          <w:szCs w:val="18"/>
          <w:color w:val="auto"/>
        </w:rPr>
        <w:t>”). The Adviser has no wholly owned subsidiaries. The Administrator has no subsidiaries.</w:t>
      </w:r>
    </w:p>
    <w:p>
      <w:pPr>
        <w:spacing w:after="0" w:line="16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is duly registered as an investment adviser under the Advisers Act, and is not prohibited by the Advisers Act or the Investment Company Act from acting under the Investment Advisory Agreement as an investment adviser to the Fund as contemplated by the Registration Statement and the Prospectus, and no order of suspension or revocation of such registration has been issued or proceedings therefor initiated or, to the knowledge of the Adviser, threatened by the Commission.</w:t>
      </w:r>
    </w:p>
    <w:p>
      <w:pPr>
        <w:spacing w:after="0" w:line="172"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Adviser and/or the Administrator, as applicable. This Agreement and each Fund Agreement to which the Adviser or the Administrator is a party comply with the applicable provisions of the Acts, the Advisers Act and the applicable Rules and Regulations. Assuming the due and valid authorization, execution and delivery by the other parties thereto, each Fund Agreement to which the Adviser or the Administrator is a party represents a valid and binding agreement of the Adviser or the Administrator, as applicable, enforceable against the Adviser or the Administrator, as applicable, in accordance with its terms, except (a) as rights to indemnity and contribution may be limited by federal or state securities laws or principles of public policy and subject to the qualification that the enforceability of the Adviser’s or the Administrator’s obligations thereunder, as applicable, may be limited by bankruptcy, fraudulent conveyance, insolvency, reorganization, receivership, moratorium, and other laws relating to or affecting creditors’ rights generally and by general equitable principles (including without limitation the availability of specific performance or injunctive relief and the application of concepts of materiality reasonableness, good faith and fair dealing) whether enforcement is considered in a proceeding in equity or at law, and (b) in the case of the Investment Advisory Agreement, with respect to termination under the Investment Company Act or the reasonableness or fairness of compensation payable thereunder.</w:t>
      </w:r>
    </w:p>
    <w:p>
      <w:pPr>
        <w:spacing w:after="0" w:line="166"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Adviser and/or the Administrator, as applicable, of, and the performance by the Adviser and/or the Administrator, as applicable, of its obligations under, this Agreement does not conflict with or will not conflict with, result in, or constitute a violation, breach of, or default under, (x) the limited liability company operating agreement of the Adviser and/or the Administrator, as applicable (y) any agreement, indenture, note, bond, license, lease or other instrument or obligation binding upon the Adviser and/or the Administrator, as applicable, that is material to the Adviser and/or the Administrator, as applicable, or (z) any law, rule or regulation applicable to the Adviser and/or the Administrator, as applicable, or any judgment, order or decree of any governmental body, agency or court having jurisdiction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99" w:right="339" w:bottom="1440" w:gutter="0" w:footer="0" w:header="0"/>
        </w:sectPr>
      </w:pPr>
    </w:p>
    <w:bookmarkStart w:id="11" w:name="page12"/>
    <w:bookmarkEnd w:id="11"/>
    <w:p>
      <w:pPr>
        <w:spacing w:after="0" w:line="222" w:lineRule="auto"/>
        <w:rPr>
          <w:sz w:val="20"/>
          <w:szCs w:val="20"/>
          <w:color w:val="auto"/>
        </w:rPr>
      </w:pPr>
      <w:r>
        <w:rPr>
          <w:rFonts w:ascii="Times New Roman" w:cs="Times New Roman" w:eastAsia="Times New Roman" w:hAnsi="Times New Roman"/>
          <w:sz w:val="18"/>
          <w:szCs w:val="18"/>
          <w:color w:val="auto"/>
        </w:rPr>
        <w:t>over the Adviser and/or the Administrator, whether foreign or domestic; except, with respect to clauses (y) or (z), any contravention which would have neither (i) an Adviser/Administrator Material Adverse Effect or (ii) a material adverse effect on the consummation of the transactions contemplated by this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representation or warranty is made with respect to compliance with the laws of any jurisdiction outside of the United States in connection with the offer or sale of the Common Shares in such jurisdiction by the Placement Agents.</w:t>
      </w:r>
    </w:p>
    <w:p>
      <w:pPr>
        <w:spacing w:after="0" w:line="157" w:lineRule="exact"/>
        <w:rPr>
          <w:sz w:val="20"/>
          <w:szCs w:val="20"/>
          <w:color w:val="auto"/>
        </w:rPr>
      </w:pPr>
    </w:p>
    <w:p>
      <w:pPr>
        <w:jc w:val="both"/>
        <w:ind w:firstLine="1304"/>
        <w:spacing w:after="0" w:line="217" w:lineRule="auto"/>
        <w:tabs>
          <w:tab w:leader="none" w:pos="19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or permit of, license from, or qualification or registration with any governmental body, agency or authority, self-regulatory organization or court or other tribunal, whether foreign or domestic, is required to be obtained by the Adviser and/or the Administrator, as applicable, for the performance by the Adviser and/or the Administrator, as applicable, of its obligations under this Agreement or any Fund Agreement to which it is a party, except such as have been obtained and as may be required by (i) the Acts, the Advisers Act, the Exchange Act, or the applicable Rules and Regulations, (ii) the rules and regulations of FINRA or of the NYSE, (iii) by the securities or “blue sky laws” of the various states and foreign jurisdictions in connection with the offer and sale of the Common Shares or (iv) such as which the failure to obtain would have neither (i) an Adviser/Administrator Material Adverse Effect nor (ii) a material adverse effect on the consummation of the transactions contemplated by this Agreement.</w:t>
      </w:r>
    </w:p>
    <w:p>
      <w:pPr>
        <w:spacing w:after="0" w:line="163"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Adviser and the Administrator, threatened to which the Adviser and/or the Administrator is a party or to which any of the properties of the Adviser and/or the Administrator is subject (i) other than proceedings accurately described in all material respects in the Registration Statement and the Prospectus and proceedings that would not have an Adviser/Administrator Material Adverse Effect, as applicable, or that would not have a material adverse effect on the power or ability of the Adviser and/or the Administrator, as applicable, to perform its obligations under this Agreement or to consummate the transactions contemplated by the Registration Statement and the Prospectus or (ii) that are required to be described in the Registration Statement or the Prospectus and are not so described.</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be, or to have been, in compliance with such laws would not, individually or in the aggregate, reasonably be expected to have an Adviser/Administrator Material Adverse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 each of the Adviser and the Administrator is, and since April 1, 2025, has been, in compliance in all material respects with all applicable laws, rules and regulations of the jurisdictions in which it is conducting business.</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documents which are required to be described in the Registration Statement or the Prospectus (or the documents incorporated by reference therein) or to be filed as exhibits thereto by the Securities Act or by the Rules and Regulations which have not been so described and filed as required.</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Adviser and the Administrator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Registration Statement and the Prospectus, except to the extent that the failure to obtain or file the foregoing would not result in an Adviser/Administrator Material Adverse Effect.</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Adviser and Administrator has the financial resources available to it necessary for the performance of its services and obligations as contemplated in the Registration Statement and the Prospectus and by this Agreement and each Fund Agreement to which it is a party.</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is in full force and effect and neither the Adviser nor, to the knowledge of the Adviser, any other party to the Investment Advisory Agreement is in default thereunder, and no event has occurred which with the passage of time or the giving of notice or both would constitute a default by the Adviser under such document.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Adviser and the Administrator are insured by insurers of recognized financial responsibility against such losses and risks and in such amounts as are prudent and customary in the businesses in which they are engaged; all policies of insurance and any fidelity or surety bonds insuring the Adviser or the Administrator or their respective businesses, assets, employees, officers and directors are in full force and effect; the Adviser and the Administrator are in compliance with the terms of such policies and instruments in all material respects; there are no claims by the Adviser or the Administrator under any such policy or instrument as to which any insurance company is denying liability or defending under a reservation of rights clause; none of the Adviser or the Administrator has any reason to believe that it will not be able to renew its existing insurance coverage as and when such coverage expires or to obtain similar coverage from similar insurers as may be necessary to continue its business at a cost that would not have an Adviser/Administrator Material Adverse Effect.</w:t>
      </w:r>
    </w:p>
    <w:p>
      <w:pPr>
        <w:spacing w:after="0" w:line="17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furnished by the Adviser or the Administrator for use in the Registration Statement and Prospectus, including, without limitation, the description of the Adviser does not, and on the Settlement Date will not, contain any untrue statement of a material fact or omit to state any material fact necessary to make such information not misleading (and in the case of the Prospectus, in light of the circumstances under which such information is provided).</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reasonably likely to involve a prospective material adverse change, in the condition, financial or otherwise, or in the prospects, earnings, business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99" w:right="339" w:bottom="1440" w:gutter="0" w:footer="0" w:header="0"/>
        </w:sectPr>
      </w:pPr>
    </w:p>
    <w:bookmarkStart w:id="12" w:name="page13"/>
    <w:bookmarkEnd w:id="12"/>
    <w:p>
      <w:pPr>
        <w:spacing w:after="0" w:line="222" w:lineRule="auto"/>
        <w:rPr>
          <w:sz w:val="20"/>
          <w:szCs w:val="20"/>
          <w:color w:val="auto"/>
        </w:rPr>
      </w:pPr>
      <w:r>
        <w:rPr>
          <w:rFonts w:ascii="Times New Roman" w:cs="Times New Roman" w:eastAsia="Times New Roman" w:hAnsi="Times New Roman"/>
          <w:sz w:val="18"/>
          <w:szCs w:val="18"/>
          <w:color w:val="auto"/>
        </w:rPr>
        <w:t>operations of the Adviser or the Administrator from that set forth in the Registration Statement and the Prospectus, and there have been no transactions entered into by the Adviser that are material to the Adviser other than those in the ordinary course of its business or as described in the Registration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and the Prospectus.</w:t>
      </w:r>
    </w:p>
    <w:p>
      <w:pPr>
        <w:spacing w:after="0" w:line="165" w:lineRule="exact"/>
        <w:rPr>
          <w:sz w:val="20"/>
          <w:szCs w:val="20"/>
          <w:color w:val="auto"/>
        </w:rPr>
      </w:pPr>
    </w:p>
    <w:p>
      <w:pPr>
        <w:jc w:val="both"/>
        <w:ind w:firstLine="1304"/>
        <w:spacing w:after="0" w:line="231"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Adviser nor the Administrator, nor to their knowledge, any of its respective affiliates, has taken, directly or indirectly, any action which constitutes or is designed to cause or result in, or which could reasonably be expected to constitute, cause or result in, the stabilization or manipulation of the price of any security to facilitate the sale or resale of the Common Shares.</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Adviser and the Administrator are and have been conducted at all times in compliance with applicable Money Laundering Laws and no action, suit or proceeding by or before any court or governmental agency, authority or body or any arbitrator involving the Adviser or the Administrator with respect to the Money Laundering Laws is pending or, to the knowledge of the Adviser or the Administrator, threatened.</w:t>
      </w:r>
    </w:p>
    <w:p>
      <w:pPr>
        <w:spacing w:after="0" w:line="15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Adviser nor the Administrator nor, to their knowledge, any director, officer, agent, employee or affiliate of the Adviser or the Administrator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Fund, the Adviser or the Administrator, and, to their knowledge, the Adviser and the Administrator, and each of their affiliates have conducted their businesses in compliance with the FCPA and have instituted and maintain policies and procedures designed to ensure, and which are reasonably expected to continue to ensure, continued compliance therewith.</w:t>
      </w:r>
    </w:p>
    <w:p>
      <w:pPr>
        <w:spacing w:after="0" w:line="17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Adviser nor the Administrator nor, to its knowledge, any director, officer, agent, employee or affiliate of the Adviser or the Administrator is currently subject to any U.S. sanctions administered by OFAC and the Adviser and the Administrator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Fund’s assets is permitted only in accordance with its management’s general or specific authorization.</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Fund’s financial statements in conformity with GAAP and to maintain accountability for the Fund’s assets and (ii) the recorded accountability for such assets is compared with existing assets at reasonable intervals and appropriate action is taken with respect to any differences.</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or on behalf of the Adviser or the Administrator and delivered to the Placement Agents or their counsel in connection with the offering of the Common Shares shall be deemed to a representation and warranty by the Adviser or the Administrator, as applicable, as to the matters covered therein to the Placement Agents.</w:t>
      </w:r>
    </w:p>
    <w:p>
      <w:pPr>
        <w:spacing w:after="0" w:line="158"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to Sell and Purchase</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13" w:lineRule="auto"/>
        <w:tabs>
          <w:tab w:leader="none" w:pos="19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to sell such Placement Shares up to the amount specified in, and otherwise in accordance with the terms of, such Placement Notice. Each of the Fund, the Adviser and the Administrator acknowledges and agrees that (i) there can be no assurance that the Designated Agent will be successful in selling Placement Shares, (ii) the Designated Agent will incur no liability or obligation to the Fund, the Adviser, the Administrator or any other person or entity if it does not sell Placement Shares for any reason other than a failure by the Designated Agent to use its commercially reasonable efforts consistent with its normal trading and sales practices to sell such Placement Shares as required under this Section 7 and (iii) the Designated Agent shall be under no obligation to purchase Placement Shares or Common Shares on a principal basis pursuant to this Agreement, except as otherwise agreed by the Designated Agent in the Placement Notice.</w:t>
      </w:r>
    </w:p>
    <w:p>
      <w:pPr>
        <w:spacing w:after="0" w:line="166" w:lineRule="exact"/>
        <w:rPr>
          <w:rFonts w:ascii="Times New Roman" w:cs="Times New Roman" w:eastAsia="Times New Roman" w:hAnsi="Times New Roman"/>
          <w:sz w:val="18"/>
          <w:szCs w:val="18"/>
          <w:color w:val="auto"/>
        </w:rPr>
      </w:pPr>
    </w:p>
    <w:p>
      <w:pPr>
        <w:jc w:val="both"/>
        <w:ind w:firstLine="1304"/>
        <w:spacing w:after="0" w:line="209" w:lineRule="auto"/>
        <w:tabs>
          <w:tab w:leader="none" w:pos="19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Trading Day (or such shorter settlement cycle as may be in effect under Exchange Act Rule 15c6-1 from time to time) following the date on which such sales are made (each, a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The amount of proceeds to be delivered to the Fund on a Settlement Date against receipt of the Placement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99" w:right="339" w:bottom="1440" w:gutter="0" w:footer="0" w:header="0"/>
        </w:sectPr>
      </w:pPr>
    </w:p>
    <w:bookmarkStart w:id="13" w:name="page14"/>
    <w:bookmarkEnd w:id="13"/>
    <w:p>
      <w:pPr>
        <w:jc w:val="both"/>
        <w:spacing w:after="0" w:line="225" w:lineRule="auto"/>
        <w:rPr>
          <w:sz w:val="20"/>
          <w:szCs w:val="20"/>
          <w:color w:val="auto"/>
        </w:rPr>
      </w:pPr>
      <w:r>
        <w:rPr>
          <w:rFonts w:ascii="Times New Roman" w:cs="Times New Roman" w:eastAsia="Times New Roman" w:hAnsi="Times New Roman"/>
          <w:sz w:val="18"/>
          <w:szCs w:val="18"/>
          <w:color w:val="auto"/>
        </w:rPr>
        <w:t>Shares sold (the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will be equal to the aggregate sales price received by the Designated Agent at which such Placement Shares were sold, after deduction for (i) the Designated Agent’s commission, discount or other compensation for such sales payable by the Fund pursuant to Section 2 and (ii)</w:t>
      </w:r>
    </w:p>
    <w:p>
      <w:pPr>
        <w:spacing w:after="0"/>
        <w:rPr>
          <w:sz w:val="20"/>
          <w:szCs w:val="20"/>
          <w:color w:val="auto"/>
        </w:rPr>
      </w:pPr>
      <w:r>
        <w:rPr>
          <w:rFonts w:ascii="Times New Roman" w:cs="Times New Roman" w:eastAsia="Times New Roman" w:hAnsi="Times New Roman"/>
          <w:sz w:val="18"/>
          <w:szCs w:val="18"/>
          <w:color w:val="auto"/>
        </w:rPr>
        <w:t>any transaction fees imposed by any governmental or self-regulatory organization in respect of such sales.</w:t>
      </w:r>
    </w:p>
    <w:p>
      <w:pPr>
        <w:spacing w:after="0" w:line="165" w:lineRule="exact"/>
        <w:rPr>
          <w:sz w:val="20"/>
          <w:szCs w:val="20"/>
          <w:color w:val="auto"/>
        </w:rPr>
      </w:pPr>
    </w:p>
    <w:p>
      <w:pPr>
        <w:jc w:val="both"/>
        <w:ind w:firstLine="1304"/>
        <w:spacing w:after="0" w:line="215" w:lineRule="auto"/>
        <w:tabs>
          <w:tab w:leader="none" w:pos="194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Fund will, or will cause its transfer agent to, electronically transfer the Placement Shares being sold by crediting the Designated Agent’s or its designee’s account (provided the Designated Agent shall have given the Fund written notice of such designee prior to the Settlement Date)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Fund on, or prior to, the Settlement Date. The Fund agrees that if the Fund, or its transfer agent (if applicable), defaults in its obligation to deliver Placement Shares on a Settlement Date, in addition to and in no way limiting the rights and obligations set forth in Section 10, the Fund will (i) hold the Designated Agent harmless against any loss, liability, claim, damage, or expense whatsoever (including reasonable legal fees and expenses), as incurred, arising out of or in connection with such default by the Fund or its transfer agent (if applicable) and (ii) pay to the Designated Agent any commission, discount, or other compensation to which it would otherwise have been entitled absent such default.</w:t>
      </w:r>
    </w:p>
    <w:p>
      <w:pPr>
        <w:spacing w:after="0" w:line="157"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color w:val="auto"/>
        </w:rPr>
        <w:t>. The certificates for the Common Shares, if any, shall be in such denominations and registered in such names as the Designated Agent may request in writing at least one full business day before the Settlement Date. The certificates for the Common Shares, if any, will be made available for examination and packaging by the Designated Agent in The City of New York not later than noon (New York City time) on the business day prior to the Settlement Date. The Fund shall deliver the Common Shares, if any, through the facilities of DTC unless the Designated Agent shall otherwise instruct.</w:t>
      </w:r>
    </w:p>
    <w:p>
      <w:pPr>
        <w:spacing w:after="0" w:line="15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Fund cause or request the offer or sale of any Placement Shares, if after giving effect to the sale of such Placement Shares, the aggregate offering price of the Common Shares sold pursuant to this Agreement would exceed the Maximum Amount. Under no circumstances shall the Fund cause or request the offer or sale of (i) any Placement Shares pursuant to this Agreement at a price lower than the minimum price authorized from time to time by the Fund and notified to the Designated Agent in writing or (ii) any Common Shares pursuant to this Agreement at a price (net of the Designated Agent’s commission, discount or other compensation for such sales payable by the Fund pursuant to Section 2 hereof) lower than the Fund’s then current net asset value per share of Common Shares (as determined pursuant to Section 23(b) of the Investment Company Act), unless the Fund has received the requisite approval from stockholders as required pursuant to the Investment Company Act.</w:t>
      </w:r>
    </w:p>
    <w:p>
      <w:pPr>
        <w:spacing w:after="0" w:line="177"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5"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Through Placement Agents</w:t>
      </w:r>
      <w:r>
        <w:rPr>
          <w:rFonts w:ascii="Times New Roman" w:cs="Times New Roman" w:eastAsia="Times New Roman" w:hAnsi="Times New Roman"/>
          <w:sz w:val="18"/>
          <w:szCs w:val="18"/>
          <w:color w:val="auto"/>
        </w:rPr>
        <w:t>. The Fund agrees that any offer to sell, any solicitation of an offer to buy, or any sales of Placement Shares or any other equity security of the Fund shall only be effected by or through a Placement Agent, and only a single Placement Agent, on any single given date, and in no event shall the Fund request that more than one Placement Agent sell Placement Shares on the same day; provided however that (i)the foregoing limitation shall not apply to (A) exercise of any option, warrant, right or any conversion privilege set forth in the instruction governing such securities, (B) sales solely to employees, directors or security holders of the Fund or its subsidiaries, or to a trustee or other person acquiring such securities for the accounts of such person and(ii) such limitation shall not apply (A) on any day during which no sales are made pursuant to this Agreement or (B) during a period in which the Fund has notified the Placement Agents that it will not sell Common Shares under this Agreement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Placement Notice is pending or (2) after a Placement Notice has been withdrawn.</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Placement Agents’ Obligations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respective obligations of the Fund, the Adviser and the Administrator, and the obligations of the Placement Agents, hereunder are subject to the condition that the Registration Statement has become effective and at the Settlement Date no stop order suspending the effectiveness of the Registration Statement shall have been issued under the Securities Act and no proceedings with respect thereto shall have been initiated or, to the Fund’s knowledge, threatened by the Commission, and any request on the part of the Commission for additional information shall have been complied with to the reasonable satisfaction of counsel to the Placement Agents.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Placement Agents are subject to the following further conditions:</w:t>
      </w:r>
    </w:p>
    <w:p>
      <w:pPr>
        <w:spacing w:after="0" w:line="212" w:lineRule="exact"/>
        <w:rPr>
          <w:sz w:val="20"/>
          <w:szCs w:val="20"/>
          <w:color w:val="auto"/>
        </w:rPr>
      </w:pPr>
    </w:p>
    <w:p>
      <w:pPr>
        <w:ind w:left="1940" w:hanging="636"/>
        <w:spacing w:after="0"/>
        <w:tabs>
          <w:tab w:leader="none" w:pos="1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Rule 462(b) Registration Statement shall have become effective and shall be available for</w:t>
      </w:r>
    </w:p>
    <w:p>
      <w:pPr>
        <w:spacing w:after="0" w:line="2" w:lineRule="exact"/>
        <w:rPr>
          <w:rFonts w:ascii="Times New Roman" w:cs="Times New Roman" w:eastAsia="Times New Roman" w:hAnsi="Times New Roman"/>
          <w:sz w:val="18"/>
          <w:szCs w:val="18"/>
          <w:color w:val="auto"/>
        </w:rPr>
      </w:pPr>
    </w:p>
    <w:p>
      <w:pPr>
        <w:ind w:firstLine="8"/>
        <w:spacing w:after="0" w:line="226" w:lineRule="auto"/>
        <w:tabs>
          <w:tab w:leader="none" w:pos="2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of Placement Shares issued pursuant to all prior Placement Notices and (ii) the sale of all Placement Shares contemplated to be issued by any Placement Notice.</w:t>
      </w:r>
    </w:p>
    <w:p>
      <w:pPr>
        <w:spacing w:after="0" w:line="15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shall have occurred and be continuing: (i) receipt by the Fund or the Adviser or the Administrator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95" w:right="339" w:bottom="1440" w:gutter="0" w:footer="0" w:header="0"/>
        </w:sectPr>
      </w:pPr>
    </w:p>
    <w:bookmarkStart w:id="14" w:name="page15"/>
    <w:bookmarkEnd w:id="14"/>
    <w:p>
      <w:pPr>
        <w:jc w:val="both"/>
        <w:spacing w:after="0" w:line="222" w:lineRule="auto"/>
        <w:rPr>
          <w:sz w:val="20"/>
          <w:szCs w:val="20"/>
          <w:color w:val="auto"/>
        </w:rPr>
      </w:pPr>
      <w:r>
        <w:rPr>
          <w:rFonts w:ascii="Times New Roman" w:cs="Times New Roman" w:eastAsia="Times New Roman" w:hAnsi="Times New Roman"/>
          <w:sz w:val="18"/>
          <w:szCs w:val="18"/>
          <w:color w:val="auto"/>
        </w:rPr>
        <w:t>Registration Statement or the initiation of any proceedings for that purpose, including any notice objecting to the use of the Registration Statement or order pursuant to Section 8(e) of the Investment Company Act having been issued and proceedings therefor initiated or, to the knowledge of the Fund, threatened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the Commission; (iii) receipt by the Fund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untrue in any material respect or that requires the making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stated therein or necessary to make the statements therein, in the light of the circumstances under which they were made, not misleading.</w:t>
      </w:r>
    </w:p>
    <w:p>
      <w:pPr>
        <w:spacing w:after="0" w:line="165" w:lineRule="exact"/>
        <w:rPr>
          <w:sz w:val="20"/>
          <w:szCs w:val="20"/>
          <w:color w:val="auto"/>
        </w:rPr>
      </w:pPr>
    </w:p>
    <w:p>
      <w:pPr>
        <w:jc w:val="both"/>
        <w:ind w:firstLine="1304"/>
        <w:spacing w:after="0" w:line="224" w:lineRule="auto"/>
        <w:tabs>
          <w:tab w:leader="none" w:pos="19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shall not have advised the Fund that the Registration Statement or Prospectus, or any amendment or supplement thereto, contains an untrue statement of fact that in the Placement Agents’ reasonable opinion is material, or omits to state a fact that in the Placement Agents’ opinion is material and is required to be stated therein or is necessary in order to make the statements therein not misleading (and in the case of the Prospectus, in light of the circumstances under which they were made).</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in the Prospectus, there shall not have been any material change, on a consolidated basis, in the authorized capital stock of the Fund or any Fund Material Adverse Effect.</w:t>
      </w:r>
    </w:p>
    <w:p>
      <w:pPr>
        <w:spacing w:after="0" w:line="149"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shall have received (i) the favorable opinions of Fund Counsel (as defined below), required to be delivered pursuant to Section 9(n) on or before the date on which such delivery of such opinion is required, and (ii) the opinion of Duane Morris LLP, counsel to the Placement Agents, on or before the date on which Fund Counsel is required to deliver an opinion pursuant to Section 9(n), with respect to such matters as the Placement Agents may reasonably require.</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shall have received the Officer’s Certificates on or before the date on which delivery of such certificate is required pursuant to Section 9(m).</w:t>
      </w:r>
    </w:p>
    <w:p>
      <w:pPr>
        <w:spacing w:after="0" w:line="149"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shall have received the Comfort Letter and the CEO/CFO Certificate required to be delivered pursuant to Section 9(o) on or before the date on which such delivery of such letter and certificate are required pursuant to Section 9(o).</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shall have been approved for listing on the NYSE, subject only to notice of issuance.</w:t>
      </w:r>
    </w:p>
    <w:p>
      <w:pPr>
        <w:spacing w:after="0" w:line="184"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issuance of any Placement Notice, FINRA shall have confirmed in writing that it has no objection with respect to the fairness and reasonableness of the sales terms and arrangements.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Shares shall not have been suspended on the NYSE.</w:t>
      </w:r>
    </w:p>
    <w:p>
      <w:pPr>
        <w:spacing w:after="0" w:line="18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the Fund is required to deliver an Officer’s Certificate, counsel for the Placement Agents shall have been furnished with such certificates, letters, opinions and other documents as they may require for the purpose of enabling them to pass upon the issuance and sale of the Common Shares as herein contemplated, or in order to evidence the accuracy of any of the representations or warranties, or the fulfillment of any of the conditions, contained in this Agreement.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that would permit the Placement Agents to terminate this Agreement pursuant to</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w:t>
      </w:r>
    </w:p>
    <w:p>
      <w:pPr>
        <w:spacing w:after="0" w:line="164" w:lineRule="exact"/>
        <w:rPr>
          <w:rFonts w:ascii="Times New Roman" w:cs="Times New Roman" w:eastAsia="Times New Roman" w:hAnsi="Times New Roman"/>
          <w:sz w:val="18"/>
          <w:szCs w:val="18"/>
          <w:color w:val="auto"/>
        </w:rPr>
      </w:pPr>
    </w:p>
    <w:p>
      <w:pPr>
        <w:ind w:right="20" w:firstLine="1304"/>
        <w:spacing w:after="0" w:line="237" w:lineRule="auto"/>
        <w:tabs>
          <w:tab w:leader="none" w:pos="19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with the Commission required by Rule 424(b) under the Securities Act to have been filed prior to the issuance of any Placement Notice hereunder shall have been made within the applicable time period prescribed for such filing by Rule 424(b).</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Fund, the Adviser and the Administrator</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further consideration of the agreements of the Placement Agents herein contained, the Fund covenants and agrees, and the Adviser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covenant and agree with the Placement Agents as follows:</w:t>
      </w:r>
    </w:p>
    <w:p>
      <w:pPr>
        <w:spacing w:after="0" w:line="193" w:lineRule="exact"/>
        <w:rPr>
          <w:sz w:val="20"/>
          <w:szCs w:val="20"/>
          <w:color w:val="auto"/>
        </w:rPr>
      </w:pPr>
    </w:p>
    <w:p>
      <w:pPr>
        <w:jc w:val="both"/>
        <w:ind w:firstLine="1304"/>
        <w:spacing w:after="0" w:line="220" w:lineRule="auto"/>
        <w:tabs>
          <w:tab w:leader="none" w:pos="19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Agreement and during any period in which a Prospectus relating to any Placement Shares is required to be delivered by the Placement Agents under the Securities Act, (i) the Fund will notify the Placement Agents promptly of the time when any subsequent amendment to the Registration Statement has been filed with the Commission and/or has become effective or any subsequent supplement to the Prospectus has been filed and of any comment letter from the Commission or any request by the Commission for any amendment or supplement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99" w:right="339" w:bottom="1440" w:gutter="0" w:footer="0" w:header="0"/>
        </w:sectPr>
      </w:pPr>
    </w:p>
    <w:bookmarkStart w:id="15" w:name="page16"/>
    <w:bookmarkEnd w:id="15"/>
    <w:p>
      <w:pPr>
        <w:jc w:val="both"/>
        <w:spacing w:after="0" w:line="222" w:lineRule="auto"/>
        <w:rPr>
          <w:sz w:val="20"/>
          <w:szCs w:val="20"/>
          <w:color w:val="auto"/>
        </w:rPr>
      </w:pPr>
      <w:r>
        <w:rPr>
          <w:rFonts w:ascii="Times New Roman" w:cs="Times New Roman" w:eastAsia="Times New Roman" w:hAnsi="Times New Roman"/>
          <w:sz w:val="18"/>
          <w:szCs w:val="18"/>
          <w:color w:val="auto"/>
        </w:rPr>
        <w:t>or Prospectus or for additional information; (ii) the Fund will prepare and file with the Commission, promptly upon the Placement Agents’ request, any amendments or supplements to the Registration Statement or Prospectus that, in the opinion of counsel for the Fund and for the Placement Agents, may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necessary or advisable in connection with the distribution of the Placement Shares by the Placement Agents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Placement Agents to make such request shall not relieve the Fund of any obligation or liability hereunder, or affect the Placement Agents’ right to rely on the representations and warranties made by the Fund in this Agreement); (iii) the Fund will not file any amendment or supplement to the Registration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 or Prospectus relating to the Placement Shares or a security convertible into the Placement Shares unless a copy thereof has been submitted to the Placement Agents within a reasonable period of time before the filing and the Placement Agents have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Placement Agents to make such objection shall not relieve the Fund of any obligation or liability hereunder, or affect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Placement Agents’ right to rely on the representations and warranties made by the Fund in this Agreement); and (iv) the Fund will cause each amendment or supplement to the Prospectus to be filed with the Commission as required pursuant to Rule 424(b) of the Securities Act. The Fund will also promptly effect the necessary post-effective amendment and the filings required pursuant to Rule 424(b) and will take such steps as it deems necessary to ascertain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promptly whether the form of prospectus transmitted for filing under Rule 424(b) was received for filing by the Commission and, in the event that it was not, it will promptly file such prospectus.</w:t>
      </w:r>
    </w:p>
    <w:p>
      <w:pPr>
        <w:spacing w:after="0" w:line="157" w:lineRule="exact"/>
        <w:rPr>
          <w:sz w:val="20"/>
          <w:szCs w:val="20"/>
          <w:color w:val="auto"/>
        </w:rPr>
      </w:pPr>
    </w:p>
    <w:p>
      <w:pPr>
        <w:jc w:val="both"/>
        <w:ind w:firstLine="1304"/>
        <w:spacing w:after="0" w:line="217" w:lineRule="auto"/>
        <w:tabs>
          <w:tab w:leader="none" w:pos="19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advise the Placement Agents, promptly after it receives notice or obtains knowledge thereof, of the issuance or threatened issuance by the Commission of any stop order suspending the effectiveness of the Registration Statement or of any other order preventing or suspending the use of the Prospectus, or of the suspension of the qualification of the Placement Shares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Fund becomes the subject of a proceeding under Section 8A of the Securities Act in connection with the offering of the Common Shares. The Fund will make every reasonable effort to prevent the issuance of any stop order, the suspension of any qualification of the Common Shares for offering or sale and any loss or suspension of any exemption from any such qualification, and if any such stop order is issued or any such suspension or loss occurs, to obtain the lifting thereof at the earliest possible moment.</w:t>
      </w:r>
    </w:p>
    <w:p>
      <w:pPr>
        <w:spacing w:after="0" w:line="163"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furnish to the Placement Agents and their counsel (at the expense of the Fund) copies of the Registration Statement, the Prospectus and all amendments and supplements to the Registration Statement or Prospectus that are filed with the Commission during any period in which a Prospectus relating to the Placement Shares is required to be delivered under the Securities Act, in each case as soon as reasonably practicable, and in such quantities and at such locations as the Placement Agents may from time to time reasonably request. The copies of the Registration Statement and the Prospectus and any supplements or amendments thereto furnished to the Placement Agents will be identical to the electronically transmitted copies thereof filed with the Commission pursuant to EDGAR, except to the extent permitted by Regulation S-T.</w:t>
      </w:r>
    </w:p>
    <w:p>
      <w:pPr>
        <w:spacing w:after="0" w:line="157"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is required by the Securities Act to be delivered in connection with a pending sale of the Placement Shares, any event shall occur or condition shall exist as a result of which it is necessary, in the opinion of counsel for the Placement Agents and for the Fund,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each counsel, at any such time to amend the Registration Statement or amend or supplement the Prospectus in order to comply with the requirements of the Securities Act, the Fund will promptly notify the Designated Agent to suspend the offering of Placement Shares during such period and the Fund will promptly prepare and file with the Commission such amendment or supplement as may be necessary to correct such statement or omission or to make the Registration Statement or the Prospectus comply with such requirements, and the Fund will furnish to the Placement Agents such number of copies of such amendment or supplement as the Placement Agents may reasonably request.</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the Adviser will not take any action designed to cause or result in the manipulation of the price of any security of the Fund to facilitate the sale of Common Shares in violation of the Securities Act or the Exchange Act and the applicable Rules and Regulations, or the securities or “blue sky” laws of the various states and foreign jurisdictions in connection with the offer and sale of Common Shares.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 will use its commercially reasonable efforts, in cooperation with the Placement Agents, to endeavor to qualify the Common Shares for offer and sale under the securities or “blue sky” laws of such jurisdictions as the Placement Agents shall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Fund shall not be obligated to file any general consent of service of process or to qualify as a foreign entity or as a dealer in securities in any jurisdiction in which it is not so qualified or to subject itself to taxation in respect of doing business in any jurisdiction in which it is not otherwise so subject.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in which the Prospectus relating to the Placement Shares is required to be delivered by the Placement Agents under the Securities Act with respect to a pending sale of the Placement Shares, the Fund will use its best efforts to effect the listing of the Common Shares on the NYSE, subject to official notice of issuance.</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during any period when the Prospectus is required to be delivered under the Securities Act, will file all documents required to be filed with the Commission pursuant to the Exchange Act and the Investment Company Act within the time periods required by the Exchange Act and the Investment Company Act, as the case may be.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99" w:right="339" w:bottom="1440" w:gutter="0" w:footer="0" w:header="0"/>
        </w:sectPr>
      </w:pPr>
    </w:p>
    <w:bookmarkStart w:id="16" w:name="page17"/>
    <w:bookmarkEnd w:id="16"/>
    <w:p>
      <w:pPr>
        <w:jc w:val="both"/>
        <w:ind w:firstLine="1304"/>
        <w:spacing w:after="0" w:line="213" w:lineRule="auto"/>
        <w:tabs>
          <w:tab w:leader="none" w:pos="19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not, without (i) giving the Placement Agents at least one (1) business day prior written notice specifying the nature of the proposed sale and the date of such proposed sale and (ii) the Placement Agents suspending activity under this program for such period of time as requested by the Fund or as deemed appropriate by the Placement Agents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Common Shares, or securities convertible into or exchangeable or exercisable for or repayable with Common Shares, or file any registration statement under the Securities Act with respect to any of the foregoing or (B) enter into any swap or other agreement or any transaction that transfers in whole or in part, directly or indirectly, any of the economic consequence of ownership of the Common Shares, or any securities convertible into or exchangeable or exercisable for or repayable with Common Shares, whether any such swap or transaction described in clause (A) or (B) above is to be settled by delivery of Common Shares or such other securities, in cash or otherwise. The foregoing sentence shall not apply to (x) the Common Shares to be offered and sold through the Placement Agents pursuant to this Agreement and (y) the Common Shares issued pursuant to the Dividend Reinvestment Plan as it may be amended from time to time.</w:t>
      </w:r>
    </w:p>
    <w:p>
      <w:pPr>
        <w:spacing w:after="0" w:line="179"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at any time during a fiscal quarter in which the Fund intends to tender a Placement Notice or sell Placement Shares, advise the Placement Agents promptly after it shall have received notice or obtained knowledge thereof, of any information or fact that would alter or affect in any material respect any opinion, certificate, letter or other document provided to the Placement Agents pursuant to this Agreement.</w:t>
      </w:r>
    </w:p>
    <w:p>
      <w:pPr>
        <w:spacing w:after="0" w:line="17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cooperate with any reasonable due diligence review conducted by the Placement Agents or their agents in connection with the transactions contemplated hereby, including, without limitation, providing information and making available documents and senior officers, during regular business hours and at the Fund’s principal offices, as the Placement Agents may reasonably request. The parties acknowledge that the due diligence review contemplated by this Section 9(k) will include, without limitation, during the term of this Agreement a quarterly diligence conference to occur within five (5) Trading Days after the filing of the Fund’s annual report and semi-annual report on Form N-CSR and N-CSRS, respectively, and interim reports containing financial statements filed pursuant to Rule 30b2-1(b) (collectively, with any successor forms that may be required by the Commission, the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whereby the Fund will make its senior corporate officers available to address diligence inquiries of the Placement Agents and will provide such additional information and documents as the Placement Agents may reasonably request.</w:t>
      </w:r>
    </w:p>
    <w:p>
      <w:pPr>
        <w:spacing w:after="0" w:line="163"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disclose in its annual report and semi-annual report on Form N-CSR and N-CSRS, respectively, and interim reports containing financial statements filed pursuant to Rule 30b2-1(b), as applicable, the number of Placement Shares sold through the Placement Agents, the Net Proceeds to the Fund and the compensation payable by the Fund to the Placement Agents with respect to such Placement Shares. To the extent the information set forth in this Section 9(l) is filed in a prospectus supplement, the Fund agrees to deliver such number of copies of each such prospectus supplement to each exchange or market on which such sales were effected as may be required by the rules or regulations of such exchange or market.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the first Placement Notice is issued, and within five (5) Trading Days after the Fund:</w:t>
      </w:r>
    </w:p>
    <w:p>
      <w:pPr>
        <w:spacing w:after="0" w:line="184" w:lineRule="exact"/>
        <w:rPr>
          <w:rFonts w:ascii="Times New Roman" w:cs="Times New Roman" w:eastAsia="Times New Roman" w:hAnsi="Times New Roman"/>
          <w:sz w:val="18"/>
          <w:szCs w:val="18"/>
          <w:color w:val="auto"/>
        </w:rPr>
      </w:pPr>
    </w:p>
    <w:p>
      <w:pPr>
        <w:jc w:val="both"/>
        <w:ind w:firstLine="1952"/>
        <w:spacing w:after="0" w:line="223" w:lineRule="auto"/>
        <w:tabs>
          <w:tab w:leader="none" w:pos="25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files the Prospectus relating to the Placement Shares or amends or supplements the Registration Statement or the Prospectus relating to the Placement Shares by means of a post-effective amendment, sticker, or supplement relating to the Placement Shares, or (B) files a Rule 424(b) filing (other than (x) a Rule 424(b) filing solely to update management’s estimates of the Fund’s financial metrics as of the most recent month end (“Financial Metrics 424(b)”) or (y) a Rule 497 filing consisting solely of a supplement to the Prospectus that does not contain a material change to the Fund’s financial statements or the terms of the offering (a “497AD Filing”)); and</w:t>
      </w:r>
    </w:p>
    <w:p>
      <w:pPr>
        <w:spacing w:after="0" w:line="158" w:lineRule="exact"/>
        <w:rPr>
          <w:rFonts w:ascii="Times New Roman" w:cs="Times New Roman" w:eastAsia="Times New Roman" w:hAnsi="Times New Roman"/>
          <w:sz w:val="18"/>
          <w:szCs w:val="18"/>
          <w:color w:val="auto"/>
        </w:rPr>
      </w:pPr>
    </w:p>
    <w:p>
      <w:pPr>
        <w:ind w:firstLine="1952"/>
        <w:spacing w:after="0" w:line="237" w:lineRule="auto"/>
        <w:tabs>
          <w:tab w:leader="none" w:pos="25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N-CSR (including any Form N-CSR/A containing amended audited financial information or a material amendment to the previously filed Form N-CSR);</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semi-annual report on Form N-CSRS; or</w:t>
      </w:r>
    </w:p>
    <w:p>
      <w:pPr>
        <w:spacing w:after="0" w:line="198"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interim report containing financial statements pursuant to Rule 30b2-1(b) of the Investment Company Act;</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(Each such date of filing of one or more of the documents referred to in clauses (i) and (ii) and any time of request pursuant to this Section 9(m) shall be a “Representation Date.”)</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each of the Fund, the Adviser and the Administrator shall furnish the Placement Agents with a certificate, in the forms attached hereto as Exhibit D-1, Exhibit D-2, and Exhibit D-3, as applicable (each, an “Officer’s Certificate”).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post-effective amendments to the Registration Statement contemplated by this </w:t>
      </w:r>
      <w:r>
        <w:rPr>
          <w:rFonts w:ascii="Times New Roman" w:cs="Times New Roman" w:eastAsia="Times New Roman" w:hAnsi="Times New Roman"/>
          <w:sz w:val="18"/>
          <w:szCs w:val="18"/>
          <w:u w:val="single" w:color="auto"/>
          <w:color w:val="auto"/>
        </w:rPr>
        <w:t>Section 9(m)</w:t>
      </w:r>
      <w:r>
        <w:rPr>
          <w:rFonts w:ascii="Times New Roman" w:cs="Times New Roman" w:eastAsia="Times New Roman" w:hAnsi="Times New Roman"/>
          <w:sz w:val="18"/>
          <w:szCs w:val="18"/>
          <w:color w:val="auto"/>
        </w:rPr>
        <w:t xml:space="preserve">, the Representation Date shall be the date the Commission declares such amendment effective and all Representation Date deliveries relating thereto which are required by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delivered on or as promptly as practicable following the date of effectiveness of such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requirement to provide a certificate under this Section 9(m) shall be waived for any Representation Date occurring at a time at which no Placement Notice is pending, which waiver shall continue until the earlier to occur of the date the Fund delivers a Placement Notice hereunder (which for such calendar quarter shall be considered a Representation Date) and the next occurring Representation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shall not apply for any Representation Date on which the Fund files its annual report on Form N-CSR. Notwithstanding the foregoing, if the Fund subsequently decides to sell Placement Shares following a Representation Date when the Fund relied on such waiver and did not provide the Placement Agents with a certificate under this Section 9(m), then before the Fund delivers the Placement Notice or the Designated Agent sells any Placement Shares, each of the Fund, the Adviser and the Administrator shall provide the Placement Agents with the applicable Officer’s Certificate dated the date of the Placement Notice.</w:t>
      </w:r>
    </w:p>
    <w:p>
      <w:pPr>
        <w:spacing w:after="0" w:line="178" w:lineRule="exact"/>
        <w:rPr>
          <w:sz w:val="20"/>
          <w:szCs w:val="20"/>
          <w:color w:val="auto"/>
        </w:rPr>
      </w:pPr>
    </w:p>
    <w:p>
      <w:pPr>
        <w:jc w:val="both"/>
        <w:ind w:firstLine="1304"/>
        <w:spacing w:after="0" w:line="216" w:lineRule="auto"/>
        <w:tabs>
          <w:tab w:leader="none" w:pos="19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the first Placement Notice and within five (5) Trading Days of each Representation Date with respect to which the Fund, the Adviser and the Administrator are obligated to deliver the applicable Officer’s Certificate, as applicable, for which no waiver is applicable, the Fund shall cause to be furnished to the Placement Agents written opinions and negative assurances of Dechert LLP (“</w:t>
      </w:r>
      <w:r>
        <w:rPr>
          <w:rFonts w:ascii="Times New Roman" w:cs="Times New Roman" w:eastAsia="Times New Roman" w:hAnsi="Times New Roman"/>
          <w:sz w:val="18"/>
          <w:szCs w:val="18"/>
          <w:b w:val="1"/>
          <w:bCs w:val="1"/>
          <w:color w:val="auto"/>
        </w:rPr>
        <w:t>Fund Counsel</w:t>
      </w:r>
      <w:r>
        <w:rPr>
          <w:rFonts w:ascii="Times New Roman" w:cs="Times New Roman" w:eastAsia="Times New Roman" w:hAnsi="Times New Roman"/>
          <w:sz w:val="18"/>
          <w:szCs w:val="18"/>
          <w:color w:val="auto"/>
        </w:rPr>
        <w:t xml:space="preserve">”), or other counsel satisfactory to the Placement Agents, in form and substance satisfactory to the Placement Agents and their counsel,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Placement Agents with a letter to the effect that the Placement Agents may rely on a prior opinion delivered under this Section 9(n) to the same extent as if it were dated the date of such letter (except that statements in such prior opinion shall be deemed to relate to the Registration Statement and the Prospectus as amended or supplemented at such Representation Date).</w:t>
      </w:r>
    </w:p>
    <w:p>
      <w:pPr>
        <w:spacing w:after="0" w:line="159"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the first Placement Notice and within five (5) Trading Days of each Representation Date with respect to which the Fund, the Adviser and the Administrator are obligated to deliver the applicable Officer’s Certificate for which no waiver is applicable, other than pursuant to Sections 9(m)(iii) and 9(m)(iv), the Fund shall cause (A) its independent accountants (and any other independent accountants whose report is included in the Registration Statement or the Prospectus) to furnish to the Placement Agents letters (collectively, the “</w:t>
      </w:r>
      <w:r>
        <w:rPr>
          <w:rFonts w:ascii="Times New Roman" w:cs="Times New Roman" w:eastAsia="Times New Roman" w:hAnsi="Times New Roman"/>
          <w:sz w:val="18"/>
          <w:szCs w:val="18"/>
          <w:b w:val="1"/>
          <w:bCs w:val="1"/>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Placement Agents, (i) confirming that they are an independent registered public accounting firm within the meaning of the Securities Act, the Exchange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letters, the “</w:t>
      </w:r>
      <w:r>
        <w:rPr>
          <w:rFonts w:ascii="Times New Roman" w:cs="Times New Roman" w:eastAsia="Times New Roman" w:hAnsi="Times New Roman"/>
          <w:sz w:val="18"/>
          <w:szCs w:val="18"/>
          <w:b w:val="1"/>
          <w:bCs w:val="1"/>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and (B) the Chief Executive Officer and the Chief Financial Officer to furnish to the Placement Agents a certificate (the “</w:t>
      </w:r>
      <w:r>
        <w:rPr>
          <w:rFonts w:ascii="Times New Roman" w:cs="Times New Roman" w:eastAsia="Times New Roman" w:hAnsi="Times New Roman"/>
          <w:sz w:val="18"/>
          <w:szCs w:val="18"/>
          <w:b w:val="1"/>
          <w:bCs w:val="1"/>
          <w:color w:val="auto"/>
        </w:rPr>
        <w:t>CEO/CFO Certificate</w:t>
      </w:r>
      <w:r>
        <w:rPr>
          <w:rFonts w:ascii="Times New Roman" w:cs="Times New Roman" w:eastAsia="Times New Roman" w:hAnsi="Times New Roman"/>
          <w:sz w:val="18"/>
          <w:szCs w:val="18"/>
          <w:color w:val="auto"/>
        </w:rPr>
        <w:t>”) dated the date that the certificate is required to be delivered, in form and substance satisfactory to the Placement Agents.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date of the first Placement Notice, each time Placement Shares are delivered to a Placement Agent as principal on a Settlement Date and within five (5) Trading Days of each Representation Date with respect to which the Fund, the Adviser and the Administrator are obligated to deliver the applicable Officer’s Certificate, as applicable, for which no waiver is applicable, each of the Fund, the Adviser and the Administrator shall furnish the Placement Agents with a certificate of its respective Secretary, dated the date such certificate is required to be delivered, in substantially the form attached hereto as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as applicable.</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Trading Days of the Fund filing with the Commission a Financial Metrics 424(b), the Fund shall cause to be furnished to the Placement Agents a CEO/CFO Certificate certifying the information included in the Financial Metrics 424(b), in a form and substance satisfactory to the Placement Agents.</w:t>
      </w:r>
    </w:p>
    <w:p>
      <w:pPr>
        <w:spacing w:after="0" w:line="17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not, directly or indirectly, (i) take any action designed to cause or result in, or that constitutes or might reasonably be expected to constitute, the stabilization or manipulation of the price of any security of the Fund to facilitate the sale or resale of the Common Shares or</w:t>
      </w:r>
    </w:p>
    <w:p>
      <w:pPr>
        <w:ind w:left="280" w:hanging="272"/>
        <w:spacing w:after="0" w:line="232" w:lineRule="auto"/>
        <w:tabs>
          <w:tab w:leader="none" w:pos="2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bid for, or purchase the Common Shares, or pay anyone any compensation for soliciting purchases of the Common Shares other than the Placement</w:t>
      </w:r>
    </w:p>
    <w:p>
      <w:pPr>
        <w:spacing w:after="0"/>
        <w:rPr>
          <w:sz w:val="20"/>
          <w:szCs w:val="20"/>
          <w:color w:val="auto"/>
        </w:rPr>
      </w:pPr>
      <w:r>
        <w:rPr>
          <w:rFonts w:ascii="Times New Roman" w:cs="Times New Roman" w:eastAsia="Times New Roman" w:hAnsi="Times New Roman"/>
          <w:sz w:val="18"/>
          <w:szCs w:val="18"/>
          <w:color w:val="auto"/>
        </w:rPr>
        <w:t xml:space="preserve">Agents;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Fund may bid for and purchase its Common Shares in accordance with Rule 10b-18 under the Exchange Act.</w:t>
      </w:r>
    </w:p>
    <w:p>
      <w:pPr>
        <w:spacing w:after="0" w:line="165" w:lineRule="exact"/>
        <w:rPr>
          <w:sz w:val="20"/>
          <w:szCs w:val="20"/>
          <w:color w:val="auto"/>
        </w:rPr>
      </w:pPr>
    </w:p>
    <w:p>
      <w:pPr>
        <w:jc w:val="both"/>
        <w:ind w:firstLine="1304"/>
        <w:spacing w:after="0" w:line="226" w:lineRule="auto"/>
        <w:tabs>
          <w:tab w:leader="none" w:pos="19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comply with all applicable securities and other applicable laws, rules and regulations, including, without limitation, the Sarbanes-Oxley Act, and will use reasonable efforts to cause the Fund’s directors and officers, in their capabilities, as such, to comply with such laws, rules and regulations, including, without limitation, the provisions of Sarbanes-Oxley Act.</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use reasonable best efforts to comply with the requirements of Subchapter M of the Code to qualify as a regulated investment company under the Code, with respect to any fiscal year in which the Fund is an investment company registered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12" w:right="339" w:bottom="1440" w:gutter="0" w:footer="0" w:header="0"/>
        </w:sectPr>
      </w:pPr>
    </w:p>
    <w:bookmarkStart w:id="18" w:name="page19"/>
    <w:bookmarkEnd w:id="18"/>
    <w:p>
      <w:pPr>
        <w:ind w:firstLine="1304"/>
        <w:spacing w:after="0" w:line="237" w:lineRule="auto"/>
        <w:tabs>
          <w:tab w:leader="none" w:pos="19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the Adviser and the Administrator will use their reasonable efforts to perform all of the agreements required of them by this Agreement and discharge all conditions of theirs to closing as set forth in this Agreement.</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use the Net Proceeds from the sale of the Placement Shares for general corporate purposes, including to acquire investments in accordance with its investment objectives and strategies, in each case as described in the Prospectus, and pending such use, as described therein.</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Fund will make generally available to its security holders and to the Placement Agents an earnings statement or statements of the Fund which will satisfy the provisions of Section 11(a) of the Securities Act and Rule 158 under the Securities Act.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use its best efforts to effect the listing of the Common Shares on the NYSE as and when required by this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64"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agrees to pay all costs, fees and expenses incurred in connection with performance of its obligations hereunder and in connection with the transactions contemplated under this Agreement, including, without limitation, (i) all expenses incident to the issuance and delivery of the Placement Shares (including all printing and engraving costs), (ii) all fees and expenses of the registrar, transfer agent of the Common Shares, (iii) all necessary issue, transfer and other stamp taxes in connection with the issuance and sale of the Placement Shares, (iv) all fees and expenses of the Fund’s counsel and the Fund’s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and the Prospectus, and all amendments and supplements thereto and this Agreement, (vi) all filing fees, distribution fees, attorneys’ fees and expenses incurred by the Fund in connection with qualifying or registering (or obtaining exemptions from the qualification or registration of) all or any part of the Placement Shares for offer and sale under the state securities or blue sky laws or any other country, including, if requested by the Placement Agents, the preparation by counsel for the Placement Agents and printing of a “Blue Sky Survey,” an “International Blue Sky Survey” or other memorandum, and any supplements thereto, advising the Placement Agents of such qualifications, registrations and exemptions, (vii) the fees and expenses associated with listing the Placement Shares on NYSE, (viii) the filing fees incident to the review by FINRA of the terms of the sale of the Placement Shares, (ix) the fees and expenses of counsel to the Placement Agents in an amount not to exceed $25,000 in connection with due diligence and the preparation of this Agreement, and (x) all other fees, costs and expenses incident to the performance by the Fund of its obligations hereunder.</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and Contribution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13" w:lineRule="auto"/>
        <w:tabs>
          <w:tab w:leader="none" w:pos="19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Fund, the Adviser and the Administrator, jointly and severally, agree to indemnify and hold harmless the Placement Agents, each person, if any, who controls the Placement Agents within the meaning of either Section 15 of the Securities Act or Section 20 of the Exchange Act, each selling agent of the Placement Agents and each director, officer, member, shareholder or affiliate of the Placement Agents within the meaning of Rule 405 under the Rules and Regulations (each, a “</w:t>
      </w:r>
      <w:r>
        <w:rPr>
          <w:rFonts w:ascii="Times New Roman" w:cs="Times New Roman" w:eastAsia="Times New Roman" w:hAnsi="Times New Roman"/>
          <w:sz w:val="18"/>
          <w:szCs w:val="18"/>
          <w:b w:val="1"/>
          <w:bCs w:val="1"/>
          <w:color w:val="auto"/>
        </w:rPr>
        <w:t>Placement Agent Indemnified Party</w:t>
      </w:r>
      <w:r>
        <w:rPr>
          <w:rFonts w:ascii="Times New Roman" w:cs="Times New Roman" w:eastAsia="Times New Roman" w:hAnsi="Times New Roman"/>
          <w:sz w:val="18"/>
          <w:szCs w:val="18"/>
          <w:color w:val="auto"/>
        </w:rPr>
        <w:t>”) from and against any and all losses, claims, damages, liabilities (including, without limitation, any legal or other expenses reasonably incurred in connection with defending or investigating any such action or claim) and expense whatsoever, caused by, arising out of or based upon any untrue statement or alleged untrue statement of a material fact contained in the Registration Statement or any amendment thereof, including any information deemed to be a part thereof pursuant to Rule 430B or Rule 424(b) under the Securities Act,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written information furnished to the Fund by any Placement Agent expressly for use therein.</w:t>
      </w:r>
    </w:p>
    <w:p>
      <w:pPr>
        <w:spacing w:after="0" w:line="166"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Placement Agent agrees, severally and not jointly, to indemnify and hold harmless each of the Fund, the Adviser and the Administrator, and each of their respective partners, directors, trustees, managers, members and shareholders (as the case may be), and each officer of the Fund who signs the Registration Statement and each person, if any, who controls the Fund, the Adviser and/or the Administrator within the meaning of either Section 15 of the Securities Act or Section 20 of the Exchange Act (each, a “</w:t>
      </w:r>
      <w:r>
        <w:rPr>
          <w:rFonts w:ascii="Times New Roman" w:cs="Times New Roman" w:eastAsia="Times New Roman" w:hAnsi="Times New Roman"/>
          <w:sz w:val="18"/>
          <w:szCs w:val="18"/>
          <w:b w:val="1"/>
          <w:bCs w:val="1"/>
          <w:color w:val="auto"/>
        </w:rPr>
        <w:t>Fund Indemnified Party</w:t>
      </w:r>
      <w:r>
        <w:rPr>
          <w:rFonts w:ascii="Times New Roman" w:cs="Times New Roman" w:eastAsia="Times New Roman" w:hAnsi="Times New Roman"/>
          <w:sz w:val="18"/>
          <w:szCs w:val="18"/>
          <w:color w:val="auto"/>
        </w:rPr>
        <w:t>”) to the same extent as the foregoing indemnity from the Fund, the Adviser and the Administrator to the Placement Agents, but only with respect to untrue statements or omissions, or alleged untrue statements or omissions, to written information relating to such Placement Agent furnished to the Fund by such Placement Agent expressly for use in the Registration Statement or Prospectus, as originally filed with the Commission, or any amendment thereof. The Fund, the Adviser and the Administrator acknowledge the only information that the Placement Agents have furnished to the Fund expressly for use in the Registration Statement, the Prospectus, any Prospectus Supplement or any Issuer Free Writing Prospectus (or any amendment or supplement thereto) are the statements set forth in the eighth and ninth paragraphs under the caption “Plan of Distribution” in the Prospectus (the “</w:t>
      </w:r>
      <w:r>
        <w:rPr>
          <w:rFonts w:ascii="Times New Roman" w:cs="Times New Roman" w:eastAsia="Times New Roman" w:hAnsi="Times New Roman"/>
          <w:sz w:val="18"/>
          <w:szCs w:val="18"/>
          <w:b w:val="1"/>
          <w:bCs w:val="1"/>
          <w:color w:val="auto"/>
        </w:rPr>
        <w:t>Agents’ Information</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10(a) or 10(b),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reasonably incurred of such counsel related to such proceeding. In any such proceeding, 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99" w:right="339" w:bottom="1440" w:gutter="0" w:footer="0" w:header="0"/>
        </w:sectPr>
      </w:pPr>
    </w:p>
    <w:bookmarkStart w:id="19" w:name="page20"/>
    <w:bookmarkEnd w:id="19"/>
    <w:p>
      <w:pPr>
        <w:jc w:val="both"/>
        <w:spacing w:after="0" w:line="222" w:lineRule="auto"/>
        <w:rPr>
          <w:sz w:val="20"/>
          <w:szCs w:val="20"/>
          <w:color w:val="auto"/>
        </w:rPr>
      </w:pPr>
      <w:r>
        <w:rPr>
          <w:rFonts w:ascii="Times New Roman" w:cs="Times New Roman" w:eastAsia="Times New Roman" w:hAnsi="Times New Roman"/>
          <w:sz w:val="18"/>
          <w:szCs w:val="18"/>
          <w:color w:val="auto"/>
        </w:rPr>
        <w:t>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use of counsel chosen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indemnifying party to represent the indemnified party would present such counsel with an actual conflict of interest, or (iii) the named parties to any such proceeding (including any impleaded parties) include both the indemnifying party and the indemnified party and the indemnified party shall have reasonably concluded that there may be legal defenses available to it and/or other indemnified parties which are different from or additional to those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available to the indemnifying party. It is understood that the indemnifying party shall not, in respect of the legal expenses of any indemnified party in connection with any proceeding or related proceedings in the same jurisdiction, be liable for (i) the fees and expenses reasonably incurred of more than one separate firm (in addition to any local counsel) for all Placement Agent Indemnified Parties, collectively, and (ii) the fees and expenses reasonably incurred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more than one separate firm (in addition to any local counsel) for all Fund Indemnified Parties, collectively. In the case of any such separate firm for Placement Agent Indemnified Parties, such firm shall be designated in writing by the Placement Agents. In the case of any such separate firm for the Fund Indemnified Parties, such firm shall be designated in writing by the Fund. The indemnifying party shall not be liable for any settlement of any proceeding</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effected without its written consent, but if settled with such consent or if there is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the reasonable fees and expenses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counsel as contemplated by the second and third sentences of this Section 10(c),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material terms of such settlement at least 30 days prior to such settlement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the indemnified party.</w:t>
      </w:r>
    </w:p>
    <w:p>
      <w:pPr>
        <w:spacing w:after="0" w:line="157" w:lineRule="exact"/>
        <w:rPr>
          <w:sz w:val="20"/>
          <w:szCs w:val="20"/>
          <w:color w:val="auto"/>
        </w:rPr>
      </w:pPr>
    </w:p>
    <w:p>
      <w:pPr>
        <w:jc w:val="both"/>
        <w:ind w:firstLine="1304"/>
        <w:spacing w:after="0" w:line="212" w:lineRule="auto"/>
        <w:tabs>
          <w:tab w:leader="none" w:pos="1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10(a) or 10(b)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Fund, the Adviser and/or the Administrator on the one hand and the Placement Agents on the other hand from the offering of the Common Shares or (ii) if the allocation provided by clause 10(d)(i) above is not permitted by applicable law, in such proportion as is appropriate to reflect not only the relative benefits referred to in clause 10(d)(i) above but also the relative fault of the Fund, the Adviser and/or the Administrator on the one hand and of the Placement Agents on the other hand in connection with the statements or omissions that resulted in such losses, claims, damages or liabilities, as well as any other relevant equitable considerations. The relative benefits received by the Fund, the Adviser and/or the Administrator on the one hand and the Placement Agents on the other hand in connection with the offering of the Common Shares shall be deemed to be in the same respective proportions as the net proceeds from the offering of the Common Shares (before deducting expenses) received by the Fund and the total discounts and commissions received by the Placement Agents, in each case as set forth in the table on the cover of the Prospectus, bear to the aggregate public offering price of the Common Shares. The relative fault of the Fund, the Adviser and/or the Administrator on the one hand and a Placement Agent on the other hand shall be determined by reference to, among other things, whether the untrue or alleged untrue statement of a material fact or the omission or alleged omission to state a material fact relates to information supplied by the Fund, the Adviser or the Administrator or by such Placement Agent and the parties’ relative intent, knowledge, access to information and opportunity to correct or prevent such statement or omission.</w:t>
      </w:r>
    </w:p>
    <w:p>
      <w:pPr>
        <w:spacing w:after="0" w:line="166"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 the Adviser, the Administrator and the Placement Agents agree that it would not be just or equitable if the contribution pursuant to this Section 10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Placement Agents were treated as one entity for such purpose) or by any other method of allocation that does not take account of the equitable considerations referred to in Section 10(d). The amount paid or payable by an indemnified party as a result of the losses, claims, damages and liabilities referred to in Section 10(d) shall be deemed to include, subject to the limitations set forth above, any legal or other expenses reasonably incurred by such indemnified party in connection with investigating or defending any such action or claim. Notwithstanding the provisions of this Section 10, a Placement Agent shall not be required to contribute any amount in excess of the amount by which the total price at which the Common Shares sold by it and distributed to the public were offered to the public exceeds the amount of any damages that a Placement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10 are not exclusive and shall not limit any rights or remedies which may otherwise be available to any indemnified party at law or in equity. The Placement Agents’ respective obligations to contribute pursuant to this Section 10 are several in proportion to the respective number of Placement Shares they have sold hereunder, and not joint.</w:t>
      </w:r>
    </w:p>
    <w:p>
      <w:pPr>
        <w:spacing w:after="0" w:line="161"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10 and the representations, warranties and other statements of the Fund, the Adviser and the Administrator contained in this Agreement shall remain operative and in full force and effect regardless of (i) any termination of this Agreement, (ii) any investigation made by or 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99" w:right="339" w:bottom="1440" w:gutter="0" w:footer="0" w:header="0"/>
        </w:sectPr>
      </w:pPr>
    </w:p>
    <w:bookmarkStart w:id="20" w:name="page21"/>
    <w:bookmarkEnd w:id="20"/>
    <w:p>
      <w:pPr>
        <w:spacing w:after="0" w:line="237" w:lineRule="auto"/>
        <w:rPr>
          <w:sz w:val="20"/>
          <w:szCs w:val="20"/>
          <w:color w:val="auto"/>
        </w:rPr>
      </w:pPr>
      <w:r>
        <w:rPr>
          <w:rFonts w:ascii="Times New Roman" w:cs="Times New Roman" w:eastAsia="Times New Roman" w:hAnsi="Times New Roman"/>
          <w:sz w:val="18"/>
          <w:szCs w:val="18"/>
          <w:color w:val="auto"/>
        </w:rPr>
        <w:t>behalf of any Placement Agent Indemnified Party or by or on behalf of any Fund Indemnified Party and (iii) acceptance of and payment for any of the Common Shares.</w:t>
      </w:r>
    </w:p>
    <w:p>
      <w:pPr>
        <w:spacing w:after="0" w:line="172" w:lineRule="exact"/>
        <w:rPr>
          <w:sz w:val="20"/>
          <w:szCs w:val="20"/>
          <w:color w:val="auto"/>
        </w:rPr>
      </w:pPr>
    </w:p>
    <w:p>
      <w:pPr>
        <w:ind w:firstLine="1304"/>
        <w:spacing w:after="0" w:line="237" w:lineRule="auto"/>
        <w:tabs>
          <w:tab w:leader="none" w:pos="19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entitled to indemnification under this Section 10 if such indemnification of such party would violate Section 17(i) of the Investment Company Act.</w:t>
      </w:r>
    </w:p>
    <w:p>
      <w:pPr>
        <w:spacing w:after="0" w:line="154"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Agreements to Survive Delivery. </w:t>
      </w:r>
      <w:r>
        <w:rPr>
          <w:rFonts w:ascii="Times New Roman" w:cs="Times New Roman" w:eastAsia="Times New Roman" w:hAnsi="Times New Roman"/>
          <w:sz w:val="18"/>
          <w:szCs w:val="18"/>
          <w:color w:val="auto"/>
        </w:rPr>
        <w:t>The indemnity and contribution agreements contained in Section 10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representations and warranties of the Fund, the Adviser and the Administrator herein or in certificates delivered pursuant hereto shall survive, as of their respective dates, regardless of (i) any investigation made by or on behalf of the Placement Agents, any controlling persons, or the Fund (or any of their respective officers, directors or controlling persons), (ii) delivery and acceptance of the Placement Shares and payment therefor or (iii) any termination of this Agreement.</w:t>
      </w:r>
    </w:p>
    <w:p>
      <w:pPr>
        <w:spacing w:after="0" w:line="15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14" w:lineRule="auto"/>
        <w:tabs>
          <w:tab w:leader="none" w:pos="19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Placement Agent may terminate this Agreement with respect to itself by notice given to the Fund, if after the execution and delivery of this Agreement and prior to the Settlement Date (i) any Fund Material Adverse Effect, Adviser Material Adverse Effect, or Administrator Material Adverse Effect, has occurred which, in the reasonable judgment of such Placement Agent may materially impair the investment quality of the Placement Shares, (ii) trading generally shall have been suspended or materially limited on, or by, as the case may be, any of the NYSE, the NYSE MKT, the NASDAQ Stock Market, the Chicago Board of Options Exchange, the Chicago Mercantile Exchange or the Chicago Board of Trade, (iii) trading of any securities of the Fund shall have been suspended on any exchange or in any over-the-counter market, (iv) a material disruption in securities settlement, payment or clearance services in the United States shall have occurred, (v) any moratorium on commercial banking activities shall have been declared by Federal or New York State authorities or (vi) there shall have occurred any outbreak or escalation of hostilities, or any change in financial markets or any calamity or crisis that, in such Placement Agent’s judgment, is material and adverse and which, singly or together with any other event specified in this clause (vi), makes it, in such Placement Agent’s judgment, impracticable or inadvisable to proceed with the offer, sale or delivery of the Common Shares on the terms and in the manner contemplated in the Prospectus. If a Placement Agent elects to terminate this Agreement as provided in this Section 12(a), such Placement Agent shall provide the required notice as specified in Section 20 (Notices).</w:t>
      </w:r>
    </w:p>
    <w:p>
      <w:pPr>
        <w:spacing w:after="0" w:line="161"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shall have the right, by giving five (5) days’ notice as hereinafter specified to terminate this Agreement in its entirety or with respect to any one or multiple of the Placement Agents, in its sole discretion at any time after the date of this Agreement. Any such termination shall be without liability of any party to any other party except that the provisions of Section 9(y), Section 10 (Indemnity and Contribution), Section 11 (Representations and Agreements to Survive Delivery), Section 17 (Governing Law and Time; Waiver of Jury Trial) and Section 18 (Consent to Jurisdiction) hereof shall remain in full force and effect notwithstanding such termination.</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Placement Agent shall have the right, by giving five (5) days’ notice as hereinafter specified to terminate this Agreement with respect to itself in its sole discretion at any time after the date of this Agreement. Any such termination shall be without liability of any party to any other party except that the provisions of Section 9(y), Section 10 (Indemnity and Contribution), Section 11 (Representations and Agreements to Survive Delivery), Section 17 (Governing Law and Time; Waiver of Jury Trial) and Section 18 (Consent to Jurisdiction) hereof shall remain in full force and effect notwithstanding such termination.</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12, this Agreement shall automatically terminate upon the issuance and sale of the Maximum Amount through the Placement Agents on the terms and subject to the conditions set forth herein except that the provisions of Section 9(y), Section 10 (Indemnity and Contribution), Section 11 (Representations and Agreements to Survive Delivery), Section 17 (Governing Law and Time; Waiver of Jury Trial) and Section 18 (Consent to Jurisdiction) hereof shall remain in full force and effect notwithstanding such termination.</w:t>
      </w:r>
    </w:p>
    <w:p>
      <w:pPr>
        <w:spacing w:after="0" w:line="172"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this Section 12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9(y), Section 10 (Indemnity and Contribution), Section 11 (Representations and Agreements to Survive Delivery), Section 17 (Governing Law and Time; Waiver of Jury Trial) and Section 18 (Consent to Jurisdiction) shall remain in full force and effect. Upon termination of this Agreement, the Fund shall not have any liability to a Placement Agent for any discount, commission or other compensation with respect to any Placement Shares not otherwise sold by a Placement Agent under this Agreement. To the extent this Agreement is terminated by one Placement Agent or by the Fund with respect to one Placement Agent pursuant to Sections 12(a) (b) or (c) above, this Agreement shall terminate only with respect to such Placement Agent and shall remain in full force and effect with respect to the Fund and the other Placement Agents, unless and until terminated pursuant to Sections 12(a), (b), (c), or (d) above.</w:t>
      </w:r>
    </w:p>
    <w:p>
      <w:pPr>
        <w:spacing w:after="0" w:line="16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a Placement Agent or the Fund, as the case may be. If such termination shall occur prior to the Settlement Date for any sale of Placement Shares, such Placement Shares shall settle in accordance with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99" w:right="339" w:bottom="1440" w:gutter="0" w:footer="0" w:header="0"/>
        </w:sectPr>
      </w:pPr>
    </w:p>
    <w:bookmarkStart w:id="21" w:name="page22"/>
    <w:bookmarkEnd w:id="21"/>
    <w:p>
      <w:pPr>
        <w:jc w:val="both"/>
        <w:ind w:firstLine="656"/>
        <w:spacing w:after="0" w:line="220" w:lineRule="auto"/>
        <w:tabs>
          <w:tab w:leader="none" w:pos="129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This Agreement shall inure to the benefit of and be binding upon the Fund and each Placement Agent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the affiliates, controlling persons, officers and directors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Fund nor the Placement Agents may assign its rights or obligations under this Agreement without the prior written consent of the other party</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32" w:lineRule="auto"/>
        <w:tabs>
          <w:tab w:leader="none" w:pos="129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Adjustments for Stock Splits. </w:t>
      </w:r>
      <w:r>
        <w:rPr>
          <w:rFonts w:ascii="Times New Roman" w:cs="Times New Roman" w:eastAsia="Times New Roman" w:hAnsi="Times New Roman"/>
          <w:sz w:val="18"/>
          <w:szCs w:val="18"/>
          <w:color w:val="auto"/>
        </w:rPr>
        <w:t>The parties acknowledge and agree that all share-related numbers contained in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to take into account any share consolidation, stock split, stock dividend, corporate domestication or similar event effected with respect to the Placement Shares.</w:t>
      </w:r>
    </w:p>
    <w:p>
      <w:pPr>
        <w:spacing w:after="0" w:line="15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firstLine="1304"/>
        <w:spacing w:after="0" w:line="250" w:lineRule="auto"/>
        <w:tabs>
          <w:tab w:leader="none" w:pos="194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and among the Fund, the Adviser, the Administrator and the Placement Agents, or any of them, with respect to the subject matter hereof.</w:t>
      </w:r>
    </w:p>
    <w:p>
      <w:pPr>
        <w:spacing w:after="0" w:line="13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Fund, the Adviser and the Administrator acknowledges that in connection with the offering of the Common Shares:</w:t>
      </w:r>
    </w:p>
    <w:p>
      <w:pPr>
        <w:ind w:left="260" w:hanging="252"/>
        <w:spacing w:after="0" w:line="219"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are acting solely in such capacity in connection with the sale of the Common Shares and no fiduciary, advisory or agency</w:t>
      </w:r>
    </w:p>
    <w:p>
      <w:pPr>
        <w:jc w:val="both"/>
        <w:spacing w:after="0" w:line="208" w:lineRule="auto"/>
        <w:rPr>
          <w:sz w:val="20"/>
          <w:szCs w:val="20"/>
          <w:color w:val="auto"/>
        </w:rPr>
      </w:pPr>
      <w:r>
        <w:rPr>
          <w:rFonts w:ascii="Times New Roman" w:cs="Times New Roman" w:eastAsia="Times New Roman" w:hAnsi="Times New Roman"/>
          <w:sz w:val="18"/>
          <w:szCs w:val="18"/>
          <w:color w:val="auto"/>
        </w:rPr>
        <w:t>relationship between the Fund, the Adviser and the Administrator, on the one hand, and the Placement Agents, on the other hand, has been created in respect of any of the transactions contemplated by this Agreement, irrespective of whether or not a Placement Agent has advised or is advising the Fund, the Adviser or the Administrator on other matters, (ii) the public offering price of the Common Shares and the price to be paid by the Placement Agents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Common Shares set forth in this Agreement were established by the Fund, the Adviser and the Administrator following discussions and arms-length negotiations with the Placement Agents, (iii) they is capable of evaluating and understanding, and understands and accepts, the terms, risks and conditions of the transactions contemplated by this Agreement, (iv) the Placement Agents owe the Fund, the Adviser and the Administrator only those duties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obligations set forth in this Agreement and prior written agreements (to the extent not superseded by this Agreement), if any, (v) the Placement Agents may have interests that differ from those of the Fund, the Adviser and the Administrator, and (vi) they waive, to the fullest extent permitted by law, any claims they may have against the Placement Agents for breach of fiduciary duty or alleged breach of fiduciary duty and agree that the Placement Agents shall not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have any liability (whether direct or indirect, in contact, tort or otherwise) to it in respect of such a fiduciary duty claim or to any person asserting a fiduciary duty claim on its behalf or in right of it or the Fund, the Adviser or the Administrator or any stockholders, employees or creditors of the Fund, the Adviser or the Administrator.</w:t>
      </w:r>
    </w:p>
    <w:p>
      <w:pPr>
        <w:spacing w:after="0" w:line="168" w:lineRule="exact"/>
        <w:rPr>
          <w:sz w:val="20"/>
          <w:szCs w:val="20"/>
          <w:color w:val="auto"/>
        </w:rPr>
      </w:pPr>
    </w:p>
    <w:p>
      <w:pPr>
        <w:ind w:firstLine="656"/>
        <w:spacing w:after="0" w:line="239" w:lineRule="auto"/>
        <w:tabs>
          <w:tab w:leader="none" w:pos="129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signatures thereto and hereto were upon the same instrument.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20" w:lineRule="auto"/>
        <w:tabs>
          <w:tab w:leader="none" w:pos="129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Time; Waiver of Jury Trial</w:t>
      </w:r>
      <w:r>
        <w:rPr>
          <w:rFonts w:ascii="Times New Roman" w:cs="Times New Roman" w:eastAsia="Times New Roman" w:hAnsi="Times New Roman"/>
          <w:sz w:val="18"/>
          <w:szCs w:val="18"/>
          <w:color w:val="auto"/>
        </w:rPr>
        <w:t>. THIS AGREEMENT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NEW YORK WITHOUT REGARD TO THE PRINCIPLES OF CONFLICTS OF LAWS. SPECIFIED TIMES OF DAY REFER TO NEW YORK CITY TIME. THE FUND, THE ADVISER, THE ADMINISTRATOR AND THE PLACEMENT AGENTS EACH HEREBY IRREVOCABLY WAIVES, TO THE FULLEST EXTENT PERMITTED BY APPLICABLE LAW, ANY AND ALL RIGHT TO TRIAL BY JURY IN ANY LEGAL PROCEEDING ARISING OUT OF OR RELATING TO THIS AGREEMENT OR THE TRANSACTIONS CONTEMPLATED HEREBY.</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14" w:lineRule="auto"/>
        <w:tabs>
          <w:tab w:leader="none" w:pos="129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Consent to Jurisdiction. </w:t>
      </w:r>
      <w:r>
        <w:rPr>
          <w:rFonts w:ascii="Times New Roman" w:cs="Times New Roman" w:eastAsia="Times New Roman" w:hAnsi="Times New Roman"/>
          <w:sz w:val="18"/>
          <w:szCs w:val="18"/>
          <w:color w:val="auto"/>
        </w:rPr>
        <w:t>EACH PARTY HEREBY IRREVOCABLY SUBMITS TO THE NON-EXCLUSIVE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39" w:lineRule="auto"/>
        <w:tabs>
          <w:tab w:leader="none" w:pos="129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 of this Agreement.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55" w:lineRule="auto"/>
        <w:tabs>
          <w:tab w:leader="none" w:pos="129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 if to Citizens JMP, shall be sufficient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respects if delivered, mailed or sent to Citizens JMP Securities, LLC, 600 Montgomery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95" w:right="339" w:bottom="1440" w:gutter="0" w:footer="0" w:header="0"/>
        </w:sectPr>
      </w:pPr>
    </w:p>
    <w:bookmarkStart w:id="22" w:name="page23"/>
    <w:bookmarkEnd w:id="22"/>
    <w:p>
      <w:pPr>
        <w:jc w:val="both"/>
        <w:spacing w:after="0" w:line="189" w:lineRule="auto"/>
        <w:rPr>
          <w:sz w:val="20"/>
          <w:szCs w:val="20"/>
          <w:color w:val="auto"/>
        </w:rPr>
      </w:pPr>
      <w:r>
        <w:rPr>
          <w:rFonts w:ascii="Times New Roman" w:cs="Times New Roman" w:eastAsia="Times New Roman" w:hAnsi="Times New Roman"/>
          <w:sz w:val="18"/>
          <w:szCs w:val="18"/>
          <w:color w:val="auto"/>
        </w:rPr>
        <w:t>Street, Suite 1100, San Francisco, CA 94111, Attention: Equity Securities (facsimile no. (415) 835-8920) or if to B. Riley, shall be sufficient in all respects if delivered, mailed or sent to B. Riley Securities, Inc., 1655 Fort Meyer Drive,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Arlington, VA 22209 (facsimile no. (212) 457-9947), with a</w:t>
      </w:r>
    </w:p>
    <w:p>
      <w:pPr>
        <w:spacing w:after="0" w:line="2"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8"/>
          <w:szCs w:val="18"/>
          <w:color w:val="auto"/>
        </w:rPr>
        <w:t>copy to Duane Morris LLP, 22 Vanderbilt, 335 Madison Avenue,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Attention: Dean M. Colucci (facsimile no. (973) 424-2020), and (ii) if to the Fund, the Adviser or the Administrator, shall be sufficient in all respects if delivered, mailed or sent to the Fund, the Adviser or the Administrator, as applicable, at the offices of the Fund at 53 Forest Avenue, Suite 301, Old Greenwich, CT 06870, Attention: Laurence E. Penn (facsimile no. (203) 698-</w:t>
      </w:r>
    </w:p>
    <w:p>
      <w:pPr>
        <w:spacing w:after="0"/>
        <w:rPr>
          <w:sz w:val="20"/>
          <w:szCs w:val="20"/>
          <w:color w:val="auto"/>
        </w:rPr>
      </w:pPr>
      <w:r>
        <w:rPr>
          <w:rFonts w:ascii="Times New Roman" w:cs="Times New Roman" w:eastAsia="Times New Roman" w:hAnsi="Times New Roman"/>
          <w:sz w:val="18"/>
          <w:szCs w:val="18"/>
          <w:color w:val="auto"/>
        </w:rPr>
        <w:t>1200), with a copy to Dechert LLP, 100 Oliver Street, Boston MA 02110, Attention: Thomas J. Friedmann (facsimile no. (617) 275-8389).</w:t>
      </w:r>
    </w:p>
    <w:p>
      <w:pPr>
        <w:spacing w:after="0" w:line="16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Absence of Fiduciary Relationships</w:t>
      </w:r>
      <w:r>
        <w:rPr>
          <w:rFonts w:ascii="Times New Roman" w:cs="Times New Roman" w:eastAsia="Times New Roman" w:hAnsi="Times New Roman"/>
          <w:sz w:val="18"/>
          <w:szCs w:val="18"/>
          <w:color w:val="auto"/>
        </w:rPr>
        <w:t>. The Fund acknowledges and agrees that:</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20" w:lineRule="auto"/>
        <w:tabs>
          <w:tab w:leader="none" w:pos="19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Placement Agent is acting solely as agent in connection with the public offering of the Placement Shares and in connection with each transaction contemplated by this Agreement and the process leading to such transactions, and no fiduciary or advisory relationship between the Fund or any of its respective affiliates, stockholders (or other equity holders), creditors or employees or any other party, on the one hand, and the Placement Agents, on the other hand, has been or will be created in respect of any of the transactions contemplated by this Agreement, irrespective of whether or not any Placement Agent has advised or is advising the Fund on other matters, and the Placement Agents have no obligation to the Fund with respect to the transactions contemplated by this Agreement except the obligations expressly set forth in this Agreement;</w:t>
      </w:r>
    </w:p>
    <w:p>
      <w:pPr>
        <w:spacing w:after="0" w:line="157" w:lineRule="exact"/>
        <w:rPr>
          <w:rFonts w:ascii="Times New Roman" w:cs="Times New Roman" w:eastAsia="Times New Roman" w:hAnsi="Times New Roman"/>
          <w:sz w:val="18"/>
          <w:szCs w:val="18"/>
          <w:color w:val="auto"/>
        </w:rPr>
      </w:pPr>
    </w:p>
    <w:p>
      <w:pPr>
        <w:ind w:right="20" w:firstLine="1304"/>
        <w:spacing w:after="0" w:line="250" w:lineRule="auto"/>
        <w:tabs>
          <w:tab w:leader="none" w:pos="19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49"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have not provided any legal, accounting, regulatory or tax advice with respect to the transactions contemplated by this Agreement and it has consulted its own legal, accounting, regulatory and tax advisors to the extent it has deemed appropriate;</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Placement Agents and their affiliates are engaged in a broad range of transactions which may involve interests that differ from those of the Fund and a Placement Agent has no obligation to disclose such interests and transactions to the Fund by virtue of any fiduciary, advisory or agency relationship or otherwise; and</w:t>
      </w:r>
    </w:p>
    <w:p>
      <w:pPr>
        <w:spacing w:after="0" w:line="171"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Placement Agents for breach of fiduciary duty or alleged breach of fiduciary duty in connection with the sale of Placement Shares under this Agreement and agrees that the Placement Agents shall not have any liability (whether direct or indirect, in contract, tort or otherwise) to it in respect of such a fiduciary duty claim or to any person asserting a fiduciary duty claim on its behalf or in right of it or the Fund, employees or creditors of Fund, other than in respect of the Placement Agents’ obligations under this Agreement and to keep information provided by the Fund to the Placement Agents and their counsel confidential to the extent not otherwise publicly-available.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99" w:right="339" w:bottom="1440" w:gutter="0" w:footer="0" w:header="0"/>
        </w:sectPr>
      </w:pPr>
    </w:p>
    <w:bookmarkStart w:id="23" w:name="page24"/>
    <w:bookmarkEnd w:id="23"/>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97" w:lineRule="exact"/>
        <w:rPr>
          <w:sz w:val="20"/>
          <w:szCs w:val="20"/>
          <w:color w:val="auto"/>
        </w:rPr>
      </w:pPr>
    </w:p>
    <w:tbl>
      <w:tblPr>
        <w:tblLayout w:type="fixed"/>
        <w:tblInd w:w="4020" w:type="dxa"/>
        <w:tblCellMar>
          <w:top w:w="0" w:type="dxa"/>
          <w:left w:w="0" w:type="dxa"/>
          <w:bottom w:w="0" w:type="dxa"/>
          <w:right w:w="0" w:type="dxa"/>
        </w:tblCellMar>
      </w:tblP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Laurence E. Penn</w:t>
            </w:r>
          </w:p>
        </w:tc>
      </w:tr>
      <w:tr>
        <w:trPr>
          <w:trHeight w:val="27"/>
        </w:trPr>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18"/>
        </w:trPr>
        <w:tc>
          <w:tcPr>
            <w:tcW w:w="66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Laurence E. Penn</w:t>
            </w:r>
          </w:p>
        </w:tc>
      </w:tr>
      <w:tr>
        <w:trPr>
          <w:trHeight w:val="234"/>
        </w:trPr>
        <w:tc>
          <w:tcPr>
            <w:tcW w:w="66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200" w:lineRule="exact"/>
        <w:rPr>
          <w:sz w:val="20"/>
          <w:szCs w:val="20"/>
          <w:color w:val="auto"/>
        </w:rPr>
      </w:pPr>
    </w:p>
    <w:p>
      <w:pPr>
        <w:spacing w:after="0" w:line="31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ELLINGTON CREDIT COMPANY MANAGEMENT LLC</w:t>
      </w:r>
    </w:p>
    <w:p>
      <w:pPr>
        <w:spacing w:after="0" w:line="162" w:lineRule="exact"/>
        <w:rPr>
          <w:sz w:val="20"/>
          <w:szCs w:val="20"/>
          <w:color w:val="auto"/>
        </w:rPr>
      </w:pPr>
    </w:p>
    <w:p>
      <w:pPr>
        <w:ind w:left="40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Laurence E.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43180</wp:posOffset>
            </wp:positionV>
            <wp:extent cx="2802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40" w:val="left"/>
        </w:tabs>
        <w:rPr>
          <w:sz w:val="20"/>
          <w:szCs w:val="20"/>
          <w:color w:val="auto"/>
        </w:rPr>
      </w:pPr>
      <w:r>
        <w:rPr>
          <w:rFonts w:ascii="Times New Roman" w:cs="Times New Roman" w:eastAsia="Times New Roman" w:hAnsi="Times New Roman"/>
          <w:sz w:val="18"/>
          <w:szCs w:val="18"/>
          <w:color w:val="auto"/>
        </w:rPr>
        <w:t>Name:</w:t>
        <w:tab/>
        <w:t>Laurence E. Penn</w:t>
      </w:r>
    </w:p>
    <w:p>
      <w:pPr>
        <w:spacing w:after="0" w:line="27" w:lineRule="exact"/>
        <w:rPr>
          <w:sz w:val="20"/>
          <w:szCs w:val="20"/>
          <w:color w:val="auto"/>
        </w:rPr>
      </w:pPr>
    </w:p>
    <w:p>
      <w:pPr>
        <w:ind w:left="4700"/>
        <w:spacing w:after="0"/>
        <w:tabs>
          <w:tab w:leader="none" w:pos="52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340"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ELLINGTON CREDIT COMPANY ADMINISTRATION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Laurence E.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43180</wp:posOffset>
            </wp:positionV>
            <wp:extent cx="2802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40" w:val="left"/>
        </w:tabs>
        <w:rPr>
          <w:sz w:val="20"/>
          <w:szCs w:val="20"/>
          <w:color w:val="auto"/>
        </w:rPr>
      </w:pPr>
      <w:r>
        <w:rPr>
          <w:rFonts w:ascii="Times New Roman" w:cs="Times New Roman" w:eastAsia="Times New Roman" w:hAnsi="Times New Roman"/>
          <w:sz w:val="18"/>
          <w:szCs w:val="18"/>
          <w:color w:val="auto"/>
        </w:rPr>
        <w:t>Name:</w:t>
        <w:tab/>
        <w:t>Laurence E. Penn</w:t>
      </w:r>
    </w:p>
    <w:p>
      <w:pPr>
        <w:spacing w:after="0" w:line="27" w:lineRule="exact"/>
        <w:rPr>
          <w:sz w:val="20"/>
          <w:szCs w:val="20"/>
          <w:color w:val="auto"/>
        </w:rPr>
      </w:pPr>
    </w:p>
    <w:p>
      <w:pPr>
        <w:ind w:left="4700"/>
        <w:spacing w:after="0"/>
        <w:tabs>
          <w:tab w:leader="none" w:pos="52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[Placement Agent Signature Page to Equity Distribution Agreement]</w:t>
      </w:r>
    </w:p>
    <w:p>
      <w:pPr>
        <w:sectPr>
          <w:pgSz w:w="11900" w:h="16838" w:orient="portrait"/>
          <w:cols w:equalWidth="0" w:num="1">
            <w:col w:w="9100"/>
          </w:cols>
          <w:pgMar w:left="1440" w:top="1440" w:right="135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 JMP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Nicolas Ricci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wp:posOffset>
            </wp:positionV>
            <wp:extent cx="2957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Nicholas Ricci</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wp:posOffset>
            </wp:positionV>
            <wp:extent cx="2957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Michael Cavanaugh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Caliva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wp:posOffset>
            </wp:positionV>
            <wp:extent cx="2957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Jeff Caliva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ARMSTRONG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A.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wp:posOffset>
            </wp:positionV>
            <wp:extent cx="2957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Richard A. Daley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3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59"/>
          </w:cols>
          <w:pgMar w:left="400" w:top="1440" w:right="1440"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PLACEMENT NOTICE</w:t>
      </w:r>
    </w:p>
    <w:p>
      <w:pPr>
        <w:sectPr>
          <w:pgSz w:w="11900" w:h="16838" w:orient="portrait"/>
          <w:cols w:equalWidth="0" w:num="1">
            <w:col w:w="11120"/>
          </w:cols>
          <w:pgMar w:left="320" w:top="1008" w:right="459" w:bottom="1440" w:gutter="0" w:footer="0" w:header="0"/>
        </w:sect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520" w:space="220"/>
            <w:col w:w="10380"/>
          </w:cols>
          <w:pgMar w:left="320" w:top="1008" w:right="459" w:bottom="1440" w:gutter="0" w:footer="0" w:header="0"/>
          <w:type w:val="continuous"/>
        </w:sectPr>
      </w:pPr>
    </w:p>
    <w:p>
      <w:pPr>
        <w:spacing w:after="0" w:line="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Cc:</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340" w:space="400"/>
            <w:col w:w="10380"/>
          </w:cols>
          <w:pgMar w:left="320" w:top="1008" w:right="459" w:bottom="1440" w:gutter="0" w:footer="0" w:header="0"/>
          <w:type w:val="continuous"/>
        </w:sectPr>
      </w:pPr>
    </w:p>
    <w:p>
      <w:pPr>
        <w:spacing w:after="0" w:line="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320" w:space="420"/>
            <w:col w:w="10380"/>
          </w:cols>
          <w:pgMar w:left="320" w:top="1008" w:right="459" w:bottom="1440" w:gutter="0" w:footer="0" w:header="0"/>
          <w:type w:val="continuous"/>
        </w:sectPr>
      </w:pPr>
    </w:p>
    <w:p>
      <w:pPr>
        <w:spacing w:after="0" w:line="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480" w:space="260"/>
            <w:col w:w="10380"/>
          </w:cols>
          <w:pgMar w:left="320" w:top="1008" w:right="45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ATM - Placement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Equity Distribution Agreement among Ellington Credit Company, a Delaware statutory trust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Ellington Credit Company Management LLC, a Delaware limited liability company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and Ellington Credit Company Administration LLC, a Delaware limited liability company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Citizens JMP Securities, LLC, B. Riley Securities, Inc., Lucid Capital Markets, LLC and Armstrong Securities LLC, I hereby request on behalf of the Fund that [</w:t>
      </w:r>
      <w:r>
        <w:rPr>
          <w:rFonts w:ascii="Times New Roman" w:cs="Times New Roman" w:eastAsia="Times New Roman" w:hAnsi="Times New Roman"/>
          <w:sz w:val="18"/>
          <w:szCs w:val="18"/>
          <w:i w:val="1"/>
          <w:iCs w:val="1"/>
          <w:color w:val="auto"/>
        </w:rPr>
        <w:t>identify Designated Agent</w:t>
      </w:r>
      <w:r>
        <w:rPr>
          <w:rFonts w:ascii="Times New Roman" w:cs="Times New Roman" w:eastAsia="Times New Roman" w:hAnsi="Times New Roman"/>
          <w:sz w:val="18"/>
          <w:szCs w:val="18"/>
          <w:color w:val="auto"/>
        </w:rPr>
        <w:t>] sell up to [ ] of the Fund’s common shares of beneficial interest, no par value, at a minimum market price of $[ ] per share.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time period during which sales are requested to be made shall be [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more than [ ] shares may be sold in any one trading day.</w:t>
      </w:r>
    </w:p>
    <w:p>
      <w:pPr>
        <w:spacing w:after="0" w:line="22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ADDITIONAL SALES PARAMETERS MAY BE ADDED, SUCH AS SPECIFIC DATES THE SECURITIES MAY NOT BE SOLD ON, THE MANNER IN WHICH SALES ARE TO BE MADE BY THE DESIGNATES AGENT, AND/OR THE CAPACITY IN WHICH THE DESIGNATED AGENT MAY ACT IN SELLING SECURITIES (AS PRINCIPAL, PLACEMENT AGENT, OR BOTH).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1008" w:right="459" w:bottom="1440" w:gutter="0" w:footer="0" w:header="0"/>
          <w:type w:val="continuous"/>
        </w:sectPr>
      </w:pPr>
    </w:p>
    <w:bookmarkStart w:id="26" w:name="page27"/>
    <w:bookmarkEnd w:id="26"/>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Fund</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Laurence Penn</w:t>
            </w:r>
          </w:p>
        </w:tc>
        <w:tc>
          <w:tcPr>
            <w:tcW w:w="280" w:type="dxa"/>
            <w:vAlign w:val="bottom"/>
          </w:tcPr>
          <w:p>
            <w:pPr>
              <w:spacing w:after="0"/>
              <w:rPr>
                <w:sz w:val="24"/>
                <w:szCs w:val="2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JR Herlihy</w:t>
            </w:r>
          </w:p>
        </w:tc>
        <w:tc>
          <w:tcPr>
            <w:tcW w:w="18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r>
      <w:tr>
        <w:trPr>
          <w:trHeight w:val="405"/>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Christopher Smernoff</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Michael Vranos</w:t>
            </w:r>
          </w:p>
        </w:tc>
        <w:tc>
          <w:tcPr>
            <w:tcW w:w="28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 Tecotzky</w:t>
            </w:r>
          </w:p>
        </w:tc>
        <w:tc>
          <w:tcPr>
            <w:tcW w:w="28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40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Greg Borenstein</w:t>
            </w:r>
          </w:p>
        </w:tc>
        <w:tc>
          <w:tcPr>
            <w:tcW w:w="28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Daniel Margolis</w:t>
            </w:r>
          </w:p>
        </w:tc>
        <w:tc>
          <w:tcPr>
            <w:tcW w:w="2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Alaael-Deen Shilleh</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Eric Lin</w:t>
            </w:r>
          </w:p>
        </w:tc>
        <w:tc>
          <w:tcPr>
            <w:tcW w:w="18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Tian Huang</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Citizens JMP</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Gianpaolo Arpaia</w:t>
            </w:r>
          </w:p>
        </w:tc>
        <w:tc>
          <w:tcPr>
            <w:tcW w:w="28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Syndicate</w:t>
            </w:r>
          </w:p>
        </w:tc>
        <w:tc>
          <w:tcPr>
            <w:tcW w:w="28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63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 Riley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ATM Operations</w:t>
            </w:r>
          </w:p>
        </w:tc>
        <w:tc>
          <w:tcPr>
            <w:tcW w:w="28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ATM Trading Desk</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Patrice McNicoll</w:t>
            </w:r>
          </w:p>
        </w:tc>
        <w:tc>
          <w:tcPr>
            <w:tcW w:w="28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Ernie Dahlman</w:t>
            </w:r>
          </w:p>
        </w:tc>
        <w:tc>
          <w:tcPr>
            <w:tcW w:w="28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Lucid Capital Markets, LLC</w:t>
            </w:r>
          </w:p>
        </w:tc>
        <w:tc>
          <w:tcPr>
            <w:tcW w:w="1100" w:type="dxa"/>
            <w:vAlign w:val="bottom"/>
          </w:tcPr>
          <w:p>
            <w:pPr>
              <w:spacing w:after="0"/>
              <w:rPr>
                <w:sz w:val="24"/>
                <w:szCs w:val="24"/>
                <w:color w:val="auto"/>
              </w:rPr>
            </w:pPr>
          </w:p>
        </w:tc>
      </w:tr>
      <w:tr>
        <w:trPr>
          <w:trHeight w:val="34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 Caliva</w:t>
            </w:r>
          </w:p>
        </w:tc>
        <w:tc>
          <w:tcPr>
            <w:tcW w:w="1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Ken Brush</w:t>
            </w:r>
          </w:p>
        </w:tc>
        <w:tc>
          <w:tcPr>
            <w:tcW w:w="18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w w:val="99"/>
              </w:rPr>
              <w:t>[*****@*****]</w:t>
            </w:r>
          </w:p>
        </w:tc>
      </w:tr>
      <w:tr>
        <w:trPr>
          <w:trHeight w:val="324"/>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Sebastian Jaskowski</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63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Armstrong</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780" w:type="dxa"/>
            <w:vAlign w:val="bottom"/>
            <w:gridSpan w:val="3"/>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345"/>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Richard Daley</w:t>
            </w:r>
          </w:p>
        </w:tc>
        <w:tc>
          <w:tcPr>
            <w:tcW w:w="2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w:t>
            </w:r>
          </w:p>
        </w:tc>
      </w:tr>
      <w:tr>
        <w:trPr>
          <w:trHeight w:val="324"/>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Jennifer Polischuk</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Daniel Moreno</w:t>
            </w:r>
          </w:p>
        </w:tc>
        <w:tc>
          <w:tcPr>
            <w:tcW w:w="28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0139"/>
          </w:cols>
          <w:pgMar w:left="320" w:top="10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39"/>
          </w:cols>
          <w:pgMar w:left="320" w:top="1008" w:right="1440" w:bottom="1440" w:gutter="0" w:footer="0" w:header="0"/>
          <w:type w:val="continuous"/>
        </w:sectPr>
      </w:pPr>
    </w:p>
    <w:bookmarkStart w:id="27" w:name="page28"/>
    <w:bookmarkEnd w:id="2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0" w:lineRule="exact"/>
        <w:rPr>
          <w:sz w:val="20"/>
          <w:szCs w:val="20"/>
          <w:color w:val="auto"/>
        </w:rPr>
      </w:pPr>
    </w:p>
    <w:p>
      <w:pPr>
        <w:spacing w:after="0" w:line="245" w:lineRule="exact"/>
        <w:rPr>
          <w:sz w:val="20"/>
          <w:szCs w:val="20"/>
          <w:color w:val="auto"/>
        </w:rPr>
      </w:pPr>
    </w:p>
    <w:p>
      <w:pPr>
        <w:ind w:firstLine="332"/>
        <w:spacing w:after="0" w:line="282" w:lineRule="auto"/>
        <w:rPr>
          <w:sz w:val="20"/>
          <w:szCs w:val="20"/>
          <w:color w:val="auto"/>
        </w:rPr>
      </w:pPr>
      <w:r>
        <w:rPr>
          <w:rFonts w:ascii="Times New Roman" w:cs="Times New Roman" w:eastAsia="Times New Roman" w:hAnsi="Times New Roman"/>
          <w:sz w:val="18"/>
          <w:szCs w:val="18"/>
          <w:color w:val="auto"/>
        </w:rPr>
        <w:t>The amount of any discount, commission or other compensation, exclusive of any expense reimbursement, to be paid by the Fund to the Designated Agent shall be equal to up to 2.0% of the gross proceeds with respect to sales of Placement Shares.</w:t>
      </w: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00"/>
          </w:cols>
          <w:pgMar w:left="320" w:top="1008" w:right="57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9019"/>
          </w:cols>
          <w:pgMar w:left="1440" w:top="1008"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 MANAGEMENT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9019"/>
          </w:cols>
          <w:pgMar w:left="1440" w:top="1008"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 ADMINISTRATION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D-3-1</w:t>
      </w:r>
    </w:p>
    <w:p>
      <w:pPr>
        <w:sectPr>
          <w:pgSz w:w="11900" w:h="16838" w:orient="portrait"/>
          <w:cols w:equalWidth="0" w:num="1">
            <w:col w:w="9019"/>
          </w:cols>
          <w:pgMar w:left="1440" w:top="1008"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FUND COUNSEL OPINION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9019"/>
          </w:cols>
          <w:pgMar w:left="1440" w:top="1008"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F-1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SECRETARY’S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9019"/>
          </w:cols>
          <w:pgMar w:left="1440" w:top="1008"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F-2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 MANAGEMENT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SECRETARY’S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9019"/>
          </w:cols>
          <w:pgMar w:left="1440" w:top="1008"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F-3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 ADMINISTRATION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SECRETARY’S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 agrees to furnish supplementally a copy of any omitted schedule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9019"/>
          </w:cols>
          <w:pgMar w:left="1440" w:top="1008"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[Letterhead of Dechert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Ellington Credit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Forest Avenue, Suite 301</w:t>
      </w:r>
    </w:p>
    <w:p>
      <w:pPr>
        <w:spacing w:after="0"/>
        <w:rPr>
          <w:sz w:val="20"/>
          <w:szCs w:val="20"/>
          <w:color w:val="auto"/>
        </w:rPr>
      </w:pPr>
      <w:r>
        <w:rPr>
          <w:rFonts w:ascii="Times New Roman" w:cs="Times New Roman" w:eastAsia="Times New Roman" w:hAnsi="Times New Roman"/>
          <w:sz w:val="18"/>
          <w:szCs w:val="18"/>
          <w:color w:val="auto"/>
        </w:rPr>
        <w:t>Old Greenwich, CT 06870</w:t>
      </w:r>
    </w:p>
    <w:p>
      <w:pPr>
        <w:spacing w:after="0" w:line="200" w:lineRule="exact"/>
        <w:rPr>
          <w:sz w:val="20"/>
          <w:szCs w:val="20"/>
          <w:color w:val="auto"/>
        </w:rPr>
      </w:pPr>
    </w:p>
    <w:p>
      <w:pPr>
        <w:spacing w:after="0" w:line="3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Re:</w:t>
        <w:tab/>
        <w:t>Ellington Credit Company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acted as counsel to Ellington Credit Company, a Delaware statutory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N-2 (File Nos. 333-298702 and 811-24071)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registration statement was initially filed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September 1, 2026, and declared effective by the Commission on October 21, 2026, and the prospectus supplement, dated October 23, 2026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dated as of October 21, 2026, included in the Registration Statement,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in connection with the sale from time to time by the Company of common shares of beneficial interest,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Company with an aggregate offering price of up to $125,000,000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filed with the Commission pursuant to Rule 424 and Rule 430B under the Securities Act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opinion letter is being furnished to the Company in accordance with the requirements of Item 25 of Form N-2 under the Securities Act, and no opinion is expressed herein as to any matter other than as to the legality of the Shares.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rendering the opinions expressed below, we have examined and relied on originals or copies, certified or otherwise identified to our satisfaction, of such documents, corporate records and other instruments,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140"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Declaration of Trust of the Company (the “</w:t>
      </w:r>
      <w:r>
        <w:rPr>
          <w:rFonts w:ascii="Times New Roman" w:cs="Times New Roman" w:eastAsia="Times New Roman" w:hAnsi="Times New Roman"/>
          <w:sz w:val="18"/>
          <w:szCs w:val="18"/>
          <w:u w:val="single" w:color="auto"/>
          <w:color w:val="auto"/>
        </w:rPr>
        <w:t>Declaration of Trust</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right="20" w:hanging="328"/>
        <w:spacing w:after="0" w:line="24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 dated as of October 23, 2026, by and among Ellington Credit Company, Ellington Credit Company Management LLC, and Ellington Credit Company Administration LLC, and each of Citizens JMP Securities, LLC, B. Riley Securities, Inc., Lucid Capital Markets, LLC, and Armstrong Securities LLC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issued by the Secretary of State of the State of Delaware as of a recent date (the “</w:t>
      </w:r>
      <w:r>
        <w:rPr>
          <w:rFonts w:ascii="Times New Roman" w:cs="Times New Roman" w:eastAsia="Times New Roman" w:hAnsi="Times New Roman"/>
          <w:sz w:val="18"/>
          <w:szCs w:val="18"/>
          <w:u w:val="single" w:color="auto"/>
          <w:color w:val="auto"/>
        </w:rPr>
        <w:t>Certificate of Good Standing</w:t>
      </w:r>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board of trustees of the Company relating to, among other things, (a) the authorization and approval of the preparation and filing of the Registration Statement and Prospectus, (b) the authorization, execution and delivery of the Equity Distribution Agreement, and (c) the authorization, issuance, offer and sale of the Shares pursuant to the Prospectus, certified as of the date hereof by an officer of the Company.</w:t>
      </w: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to the facts upon which this opinion is based, we have relied, to the extent we deem proper, upon certificates of public officials and certificates and written statements of agents, officers, directors and representatives of the Company.</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all natural persons, (ii) the legal power and authority of all persons signing on behalf of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7" w:right="339" w:bottom="1440" w:gutter="0" w:footer="0" w:header="0"/>
          <w:type w:val="continuous"/>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parties to such documents, and (iii) that the Certificate of Good Standing remains accurate and the Registration Statement remains effective at the time of the issuance and sale of the Shares.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the basis of the foregoing and subject to the assumptions, qualifications and limitations set forth in this letter, we are of the opinion that the Shares are duly authorized by the Company and, when the Shares are (a) duly issued and delivered in connection with the Offering against receipt by the Company of payment therefor as contemplated by the Registration Statement and the Prospectus and in accordance with the terms of the Equity Distribution Agreement, and (b) if applicable, countersigned by the transfer agent, the Shares will be validly issued, fully paid and nonassessable.</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opinions expressed herein are limited to the laws of the State of New York and the Delaware Statutory Trust Act, and we do not express any opinion herein concerning any other law. We express no opinion as to the effect on the matters covered by this letter of the laws of any other jurisdiction.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assume no obligation to advise you of any changes in the foregoing subsequent to the date of this opinion.</w:t>
      </w:r>
    </w:p>
    <w:p>
      <w:pPr>
        <w:spacing w:after="0" w:line="23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Company’s Current Report on Form 8-K filed with the Commission on October 27, 2026 and to the reference to our firm under the caption “Legal Counsel” in the Prospectus, which forms a part of the Registration Statement and Prospectus Supplement. In giving such consent, we do not thereby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Dechert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lvl w:ilvl="1">
      <w:lvlJc w:val="left"/>
      <w:lvlText w:val="(%2)"/>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4"/>
    </w:lvl>
  </w:abstractNum>
  <w:abstractNum w:abstractNumId="8">
    <w:nsid w:val="8EDBDAB"/>
    <w:multiLevelType w:val="hybridMultilevel"/>
    <w:lvl w:ilvl="0">
      <w:lvlJc w:val="left"/>
      <w:lvlText w:val="(%1)"/>
      <w:numFmt w:val="lowerLetter"/>
      <w:start w:val="12"/>
    </w:lvl>
  </w:abstractNum>
  <w:abstractNum w:abstractNumId="9">
    <w:nsid w:val="79838CB2"/>
    <w:multiLevelType w:val="hybridMultilevel"/>
    <w:lvl w:ilvl="0">
      <w:lvlJc w:val="left"/>
      <w:lvlText w:val="(%1)"/>
      <w:numFmt w:val="lowerLetter"/>
      <w:start w:val="23"/>
    </w:lvl>
  </w:abstractNum>
  <w:abstractNum w:abstractNumId="10">
    <w:nsid w:val="4353D0CD"/>
    <w:multiLevelType w:val="hybridMultilevel"/>
    <w:lvl w:ilvl="0">
      <w:lvlJc w:val="left"/>
      <w:lvlText w:val="(%1)"/>
      <w:numFmt w:val="lowerLetter"/>
      <w:start w:val="27"/>
    </w:lvl>
  </w:abstractNum>
  <w:abstractNum w:abstractNumId="11">
    <w:nsid w:val="B03E0C6"/>
    <w:multiLevelType w:val="hybridMultilevel"/>
    <w:lvl w:ilvl="0">
      <w:lvlJc w:val="left"/>
      <w:lvlText w:val="(%1)"/>
      <w:numFmt w:val="lowerLetter"/>
      <w:start w:val="34"/>
    </w:lvl>
  </w:abstractNum>
  <w:abstractNum w:abstractNumId="12">
    <w:nsid w:val="189A769B"/>
    <w:multiLevelType w:val="hybridMultilevel"/>
    <w:lvl w:ilvl="0">
      <w:lvlJc w:val="left"/>
      <w:lvlText w:val="(%1)"/>
      <w:numFmt w:val="lowerLetter"/>
      <w:start w:val="44"/>
    </w:lvl>
  </w:abstractNum>
  <w:abstractNum w:abstractNumId="13">
    <w:nsid w:val="54E49EB4"/>
    <w:multiLevelType w:val="hybridMultilevel"/>
    <w:lvl w:ilvl="0">
      <w:lvlJc w:val="left"/>
      <w:lvlText w:val="%1."/>
      <w:numFmt w:val="decimal"/>
      <w:start w:val="6"/>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5"/>
    </w:lvl>
  </w:abstractNum>
  <w:abstractNum w:abstractNumId="16">
    <w:nsid w:val="836C40E"/>
    <w:multiLevelType w:val="hybridMultilevel"/>
    <w:lvl w:ilvl="0">
      <w:lvlJc w:val="left"/>
      <w:lvlText w:val="(%1)"/>
      <w:numFmt w:val="lowerLetter"/>
      <w:start w:val="15"/>
    </w:lvl>
  </w:abstractNum>
  <w:abstractNum w:abstractNumId="17">
    <w:nsid w:val="2901D82"/>
    <w:multiLevelType w:val="hybridMultilevel"/>
    <w:lvl w:ilvl="0">
      <w:lvlJc w:val="left"/>
      <w:lvlText w:val="%1."/>
      <w:numFmt w:val="decimal"/>
      <w:start w:val="7"/>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9">
    <w:nsid w:val="8138641"/>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0">
    <w:nsid w:val="1E7FF521"/>
    <w:multiLevelType w:val="hybridMultilevel"/>
    <w:lvl w:ilvl="0">
      <w:lvlJc w:val="left"/>
      <w:lvlText w:val="%1"/>
      <w:numFmt w:val="lowerLetter"/>
      <w:start w:val="1"/>
    </w:lvl>
    <w:lvl w:ilvl="1">
      <w:lvlJc w:val="left"/>
      <w:lvlText w:val="(%2)"/>
      <w:numFmt w:val="lowerLetter"/>
      <w:start w:val="1"/>
    </w:lvl>
  </w:abstractNum>
  <w:abstractNum w:abstractNumId="21">
    <w:nsid w:val="7C3DBD3D"/>
    <w:multiLevelType w:val="hybridMultilevel"/>
    <w:lvl w:ilvl="0">
      <w:lvlJc w:val="left"/>
      <w:lvlText w:val="(%1)"/>
      <w:numFmt w:val="lowerLetter"/>
      <w:start w:val="9"/>
    </w:lvl>
    <w:lvl w:ilvl="1">
      <w:lvlJc w:val="left"/>
      <w:lvlText w:val="(%2)"/>
      <w:numFmt w:val="lowerLetter"/>
      <w:start w:val="2"/>
    </w:lvl>
  </w:abstractNum>
  <w:abstractNum w:abstractNumId="22">
    <w:nsid w:val="737B8DDC"/>
    <w:multiLevelType w:val="hybridMultilevel"/>
    <w:lvl w:ilvl="0">
      <w:lvlJc w:val="left"/>
      <w:lvlText w:val="%1"/>
      <w:numFmt w:val="decimal"/>
      <w:start w:val="1"/>
    </w:lvl>
    <w:lvl w:ilvl="1">
      <w:lvlJc w:val="left"/>
      <w:lvlText w:val="(%2)"/>
      <w:numFmt w:val="lowerLetter"/>
      <w:start w:val="3"/>
    </w:lvl>
  </w:abstractNum>
  <w:abstractNum w:abstractNumId="23">
    <w:nsid w:val="6CEAF087"/>
    <w:multiLevelType w:val="hybridMultilevel"/>
    <w:lvl w:ilvl="0">
      <w:lvlJc w:val="left"/>
      <w:lvlText w:val="%1."/>
      <w:numFmt w:val="decimal"/>
      <w:start w:val="9"/>
    </w:lvl>
    <w:lvl w:ilvl="1">
      <w:lvlJc w:val="left"/>
      <w:lvlText w:val="%2"/>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9"/>
    </w:lvl>
    <w:lvl w:ilvl="1">
      <w:lvlJc w:val="left"/>
      <w:lvlText w:val="(%2)"/>
      <w:numFmt w:val="lowerRoman"/>
      <w:start w:val="1"/>
    </w:lvl>
  </w:abstractNum>
  <w:abstractNum w:abstractNumId="27">
    <w:nsid w:val="614FD4A1"/>
    <w:multiLevelType w:val="hybridMultilevel"/>
    <w:lvl w:ilvl="0">
      <w:lvlJc w:val="left"/>
      <w:lvlText w:val="%1"/>
      <w:numFmt w:val="lowerLetter"/>
      <w:start w:val="1"/>
    </w:lvl>
    <w:lvl w:ilvl="1">
      <w:lvlJc w:val="left"/>
      <w:lvlText w:val="(%2)"/>
      <w:numFmt w:val="lowerLetter"/>
      <w:start w:val="14"/>
    </w:lvl>
  </w:abstractNum>
  <w:abstractNum w:abstractNumId="28">
    <w:nsid w:val="419AC241"/>
    <w:multiLevelType w:val="hybridMultilevel"/>
    <w:lvl w:ilvl="0">
      <w:lvlJc w:val="left"/>
      <w:lvlText w:val="(%1)"/>
      <w:numFmt w:val="lowerLetter"/>
      <w:start w:val="35"/>
    </w:lvl>
    <w:lvl w:ilvl="1">
      <w:lvlJc w:val="left"/>
      <w:lvlText w:val="%2"/>
      <w:numFmt w:val="lowerLetter"/>
      <w:start w:val="1"/>
    </w:lvl>
  </w:abstractNum>
  <w:abstractNum w:abstractNumId="29">
    <w:nsid w:val="5577F8E1"/>
    <w:multiLevelType w:val="hybridMultilevel"/>
    <w:lvl w:ilvl="0">
      <w:lvlJc w:val="left"/>
      <w:lvlText w:val="(%1)"/>
      <w:numFmt w:val="lowerLetter"/>
      <w:start w:val="19"/>
    </w:lvl>
  </w:abstractNum>
  <w:abstractNum w:abstractNumId="30">
    <w:nsid w:val="440BADFC"/>
    <w:multiLevelType w:val="hybridMultilevel"/>
    <w:lvl w:ilvl="0">
      <w:lvlJc w:val="left"/>
      <w:lvlText w:val="%1"/>
      <w:numFmt w:val="decimal"/>
      <w:start w:val="1"/>
    </w:lvl>
    <w:lvl w:ilvl="1">
      <w:lvlJc w:val="left"/>
      <w:lvlText w:val="(%2)"/>
      <w:numFmt w:val="lowerLetter"/>
      <w:start w:val="21"/>
    </w:lvl>
  </w:abstractNum>
  <w:abstractNum w:abstractNumId="31">
    <w:nsid w:val="5072367"/>
    <w:multiLevelType w:val="hybridMultilevel"/>
    <w:lvl w:ilvl="0">
      <w:lvlJc w:val="left"/>
      <w:lvlText w:val="%1."/>
      <w:numFmt w:val="decimal"/>
      <w:start w:val="10"/>
    </w:lvl>
    <w:lvl w:ilvl="1">
      <w:lvlJc w:val="left"/>
      <w:lvlText w:val="(%2)"/>
      <w:numFmt w:val="lowerLetter"/>
      <w:start w:val="1"/>
    </w:lvl>
  </w:abstractNum>
  <w:abstractNum w:abstractNumId="32">
    <w:nsid w:val="3804823E"/>
    <w:multiLevelType w:val="hybridMultilevel"/>
    <w:lvl w:ilvl="0">
      <w:lvlJc w:val="left"/>
      <w:lvlText w:val="(%1)"/>
      <w:numFmt w:val="lowerLetter"/>
      <w:start w:val="4"/>
    </w:lvl>
  </w:abstractNum>
  <w:abstractNum w:abstractNumId="33">
    <w:nsid w:val="77465F01"/>
    <w:multiLevelType w:val="hybridMultilevel"/>
    <w:lvl w:ilvl="0">
      <w:lvlJc w:val="left"/>
      <w:lvlText w:val="%1"/>
      <w:numFmt w:val="decimal"/>
      <w:start w:val="1"/>
    </w:lvl>
    <w:lvl w:ilvl="1">
      <w:lvlJc w:val="left"/>
      <w:lvlText w:val="(%2)"/>
      <w:numFmt w:val="lowerLetter"/>
      <w:start w:val="7"/>
    </w:lvl>
  </w:abstractNum>
  <w:abstractNum w:abstractNumId="34">
    <w:nsid w:val="7724C67E"/>
    <w:multiLevelType w:val="hybridMultilevel"/>
    <w:lvl w:ilvl="0">
      <w:lvlJc w:val="left"/>
      <w:lvlText w:val="%1."/>
      <w:numFmt w:val="decimal"/>
      <w:start w:val="11"/>
    </w:lvl>
    <w:lvl w:ilvl="1">
      <w:lvlJc w:val="left"/>
      <w:lvlText w:val="(%2)"/>
      <w:numFmt w:val="lowerLetter"/>
      <w:start w:val="1"/>
    </w:lvl>
  </w:abstractNum>
  <w:abstractNum w:abstractNumId="35">
    <w:nsid w:val="5C482A97"/>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6">
    <w:nsid w:val="2463B9E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7">
    <w:nsid w:val="5E884ADC"/>
    <w:multiLevelType w:val="hybridMultilevel"/>
    <w:lvl w:ilvl="0">
      <w:lvlJc w:val="left"/>
      <w:lvlText w:val="%1."/>
      <w:numFmt w:val="decimal"/>
      <w:start w:val="16"/>
    </w:lvl>
  </w:abstractNum>
  <w:abstractNum w:abstractNumId="38">
    <w:nsid w:val="51EAD36B"/>
    <w:multiLevelType w:val="hybridMultilevel"/>
    <w:lvl w:ilvl="0">
      <w:lvlJc w:val="left"/>
      <w:lvlText w:val="%1."/>
      <w:numFmt w:val="decimal"/>
      <w:start w:val="21"/>
    </w:lvl>
    <w:lvl w:ilvl="1">
      <w:lvlJc w:val="left"/>
      <w:lvlText w:val="(%2)"/>
      <w:numFmt w:val="lowerLetter"/>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2026-10-27T07:37:28Z</dcterms:created>
  <dcterms:modified xsi:type="dcterms:W3CDTF">2026-10-27T07:37:28Z</dcterms:modified>
</cp:coreProperties>
</file>