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4"/>
        </w:rPr>
        <w:t>September 8,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Ellington Credit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specified in its charter)</w:t>
      </w:r>
    </w:p>
    <w:tbl>
      <w:tblPr>
        <w:tblW w:w="9592" w:type="dxa"/>
        <w:jc w:val="center"/>
        <w:tblInd w:w="0" w:type="dxa"/>
        <w:tblLayout w:type="fixed"/>
        <w:tblCellMar>
          <w:top w:w="28" w:type="dxa"/>
          <w:left w:w="28" w:type="dxa"/>
          <w:bottom w:w="28" w:type="dxa"/>
          <w:right w:w="28" w:type="dxa"/>
        </w:tblCellMar>
      </w:tblPr>
      <w:tblGrid>
        <w:gridCol w:w="1355"/>
        <w:gridCol w:w="1191"/>
        <w:gridCol w:w="1203"/>
        <w:gridCol w:w="109"/>
        <w:gridCol w:w="109"/>
        <w:gridCol w:w="109"/>
        <w:gridCol w:w="762"/>
        <w:gridCol w:w="762"/>
        <w:gridCol w:w="770"/>
        <w:gridCol w:w="109"/>
        <w:gridCol w:w="109"/>
        <w:gridCol w:w="109"/>
        <w:gridCol w:w="845"/>
        <w:gridCol w:w="845"/>
        <w:gridCol w:w="1205"/>
      </w:tblGrid>
      <w:tr>
        <w:trPr/>
        <w:tc>
          <w:tcPr>
            <w:tcW w:w="135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811-24071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46-0687599</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53 Forest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Old Greenwich, CT 06870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(203) 698-1200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61" w:type="dxa"/>
        <w:jc w:val="left"/>
        <w:tblInd w:w="0" w:type="dxa"/>
        <w:tblLayout w:type="fixed"/>
        <w:tblCellMar>
          <w:top w:w="28" w:type="dxa"/>
          <w:left w:w="28" w:type="dxa"/>
          <w:bottom w:w="28" w:type="dxa"/>
          <w:right w:w="28" w:type="dxa"/>
        </w:tblCellMar>
      </w:tblPr>
      <w:tblGrid>
        <w:gridCol w:w="1548"/>
        <w:gridCol w:w="1359"/>
        <w:gridCol w:w="1367"/>
        <w:gridCol w:w="109"/>
        <w:gridCol w:w="109"/>
        <w:gridCol w:w="109"/>
        <w:gridCol w:w="519"/>
        <w:gridCol w:w="519"/>
        <w:gridCol w:w="521"/>
        <w:gridCol w:w="109"/>
        <w:gridCol w:w="109"/>
        <w:gridCol w:w="109"/>
        <w:gridCol w:w="1074"/>
        <w:gridCol w:w="1074"/>
        <w:gridCol w:w="1526"/>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EARN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8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w:t>
      </w:r>
      <w:r>
        <w:rPr>
          <w:color w:val="000000"/>
        </w:rPr>
        <w:t>    </w:t>
      </w:r>
      <w:r>
        <w:rPr>
          <w:rFonts w:ascii="Times New Roman;serif" w:hAnsi="Times New Roman;serif"/>
          <w:b/>
          <w:color w:val="000000"/>
          <w:sz w:val="20"/>
        </w:rPr>
        <w:t>Other Events.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8, 2026, Ellington Credit Company issued a press release announcing that its Board of Trustees declared a monthly common distribution of $0.08 per share, payable on October 30, 2026 to common shareholders of record as of September 30, 2026.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filed herewith as Exhibit 99.1 to this current report on Form 8-K and the information related to the distribution is incorporated herein by reference.</w:t>
      </w:r>
    </w:p>
    <w:p>
      <w:pPr>
        <w:pStyle w:val="TextBody"/>
        <w:bidi w:val="0"/>
        <w:spacing w:lineRule="auto" w:line="288" w:before="18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lineRule="auto" w:line="288" w:before="180" w:after="283"/>
        <w:ind w:left="0" w:right="0" w:firstLine="1440"/>
        <w:jc w:val="left"/>
        <w:rPr/>
      </w:pPr>
      <w:r>
        <w:rPr>
          <w:rFonts w:ascii="Times New Roman;serif" w:hAnsi="Times New Roman;serif"/>
          <w:b w:val="false"/>
          <w:color w:val="000000"/>
          <w:sz w:val="20"/>
        </w:rPr>
        <w:t>99.1    </w:t>
      </w:r>
      <w:hyperlink w:anchor="earn-exxseptember2026divid.htm">
        <w:r>
          <w:rPr>
            <w:rStyle w:val="InternetLink"/>
          </w:rPr>
          <w:t xml:space="preserve">Press Release dated </w:t>
        </w:r>
      </w:hyperlink>
      <w:hyperlink w:anchor="earn-exxseptember2026divid.htm">
        <w:r>
          <w:rPr>
            <w:rStyle w:val="InternetLink"/>
          </w:rPr>
          <w:t>September 8</w:t>
        </w:r>
      </w:hyperlink>
      <w:hyperlink w:anchor="earn-exxseptember2026divid.htm">
        <w:r>
          <w:rPr>
            <w:rStyle w:val="InternetLink"/>
          </w:rPr>
          <w:t>, 2026</w:t>
        </w:r>
      </w:hyperlink>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5847" w:type="dxa"/>
        <w:jc w:val="left"/>
        <w:tblInd w:w="0" w:type="dxa"/>
        <w:tblLayout w:type="fixed"/>
        <w:tblCellMar>
          <w:top w:w="28" w:type="dxa"/>
          <w:left w:w="28" w:type="dxa"/>
          <w:bottom w:w="28" w:type="dxa"/>
          <w:right w:w="28" w:type="dxa"/>
        </w:tblCellMar>
      </w:tblPr>
      <w:tblGrid>
        <w:gridCol w:w="238"/>
        <w:gridCol w:w="210"/>
        <w:gridCol w:w="212"/>
        <w:gridCol w:w="539"/>
        <w:gridCol w:w="539"/>
        <w:gridCol w:w="541"/>
        <w:gridCol w:w="134"/>
        <w:gridCol w:w="134"/>
        <w:gridCol w:w="136"/>
        <w:gridCol w:w="926"/>
        <w:gridCol w:w="926"/>
        <w:gridCol w:w="131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CREDIT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18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Ellington Credit Declares Monthly Common Distribution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OLD GREENWICH, Conn., September 8, 2026—Ellington Credit Company (NYSE: EARN) ("we" or the "Fund") today announced that its Board of Trustees has declared a monthly common distribution of $0.08 per share, payable on October 30, 2026 to common shareholders of record as of September 30, 2026.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contains forward-looking statements within the meaning of the safe harbor provisions of the Private Securities Litigation Reform Act of 1995. Forward-looking statements are not historical in nature and can be identified by words such as "anticipate," "estimate," "will," "should," "may," "expect," "project," "believe," "intend," "seek," "plan" and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numerous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those stated or implied by our forward-looking statements: changes in interest rates and the market value of our investments, market volatility, changes in the default rates on corporate loans, our ability to borrow to finance our assets, changes in government regulations affecting our business, a deterioration in the market for collateralized loan obligations, our ability to adapt to the new regulatory regime associated with our conversion to a closed-end fund/RIC, potential business disruption related to our conversion to a closed-end fund/RIC, ability to achieve the anticipated benefits of our conversion to a closed-end fund/RIC, and other changes in market conditions and economic trends, such as changes to fiscal or monetary policy, heightened inflation, increased tariffs, slower growth or recession, and currency fluctuations. Furthermore, as stated above, forward-looking statements are subject to numerous risks and uncertainties, including, among other things, those described under the heading “Risk Factors” in our Registration Statement on Form N-2, which can be accessed through the link to our SEC filings under "For Investors" on our website (at www.ellingtoncredit.com) or at the SEC's website (www.sec.gov). Other risks, uncertainties, and factors that could cause actual results to differ materially from those projected or implied may be described from time to time in reports we file with the SEC, and is not possible for us to predict or identify them all. We undertake no obligation to update or revise any forward-looking statements, whether as a result of new information, future events, or otherwise.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180" w:after="283"/>
        <w:jc w:val="left"/>
        <w:rPr>
          <w:rFonts w:ascii="Times New Roman;serif" w:hAnsi="Times New Roman;serif"/>
          <w:b/>
          <w:color w:val="444444"/>
          <w:sz w:val="20"/>
        </w:rPr>
      </w:pPr>
      <w:r>
        <w:rPr>
          <w:rFonts w:ascii="Times New Roman;serif" w:hAnsi="Times New Roman;serif"/>
          <w:b/>
          <w:color w:val="444444"/>
          <w:sz w:val="20"/>
        </w:rPr>
        <w:t>About Ellington Credit Company</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Credit Company (the "Fund") is a non-diversified closed-end fund that seeks to provide attractive current cash flow and risk-adjusted total returns by investing primarily in corporate collateralized loan obligations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www.ellingtoncredit.com.</w:t>
      </w:r>
    </w:p>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1063</Words>
  <Characters>6081</Characters>
  <CharactersWithSpaces>7100</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