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1"/>
          <w:szCs w:val="21"/>
          <w:b w:val="1"/>
          <w:bCs w:val="1"/>
          <w:color w:val="auto"/>
        </w:rPr>
        <w:t>June 8, 2026</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Ellington Credit Company</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specified in its charter)</w:t>
      </w:r>
    </w:p>
    <w:p>
      <w:pPr>
        <w:sectPr>
          <w:pgSz w:w="11900" w:h="16838" w:orient="portrait"/>
          <w:cols w:equalWidth="0" w:num="1">
            <w:col w:w="11240"/>
          </w:cols>
          <w:pgMar w:left="320" w:top="999" w:right="339" w:bottom="1440" w:gutter="0" w:footer="0" w:header="0"/>
        </w:sectPr>
      </w:pPr>
    </w:p>
    <w:p>
      <w:pPr>
        <w:spacing w:after="0" w:line="26"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811-24071</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46-0687599</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93" w:lineRule="exact"/>
        <w:rPr>
          <w:sz w:val="24"/>
          <w:szCs w:val="24"/>
          <w:color w:val="auto"/>
        </w:rPr>
      </w:pPr>
    </w:p>
    <w:p>
      <w:pPr>
        <w:sectPr>
          <w:pgSz w:w="11900" w:h="16838" w:orient="portrait"/>
          <w:cols w:equalWidth="0" w:num="3">
            <w:col w:w="3900" w:space="720"/>
            <w:col w:w="2800" w:space="720"/>
            <w:col w:w="3100"/>
          </w:cols>
          <w:pgMar w:left="320" w:top="99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53 Forest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999"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698-1200</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5" w:lineRule="exact"/>
        <w:rPr>
          <w:sz w:val="24"/>
          <w:szCs w:val="24"/>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00" w:type="dxa"/>
            <w:vAlign w:val="bottom"/>
            <w:gridSpan w:val="2"/>
          </w:tcPr>
          <w:p>
            <w:pPr>
              <w:ind w:left="16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50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1"/>
        </w:trPr>
        <w:tc>
          <w:tcPr>
            <w:tcW w:w="4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Shares of Beneficial Interest, no par value</w:t>
            </w:r>
          </w:p>
        </w:tc>
        <w:tc>
          <w:tcPr>
            <w:tcW w:w="120" w:type="dxa"/>
            <w:vAlign w:val="bottom"/>
          </w:tcPr>
          <w:p>
            <w:pPr>
              <w:spacing w:after="0"/>
              <w:rPr>
                <w:sz w:val="19"/>
                <w:szCs w:val="19"/>
                <w:color w:val="auto"/>
              </w:rPr>
            </w:pPr>
          </w:p>
        </w:tc>
        <w:tc>
          <w:tcPr>
            <w:tcW w:w="20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EARN</w:t>
            </w:r>
          </w:p>
        </w:tc>
        <w:tc>
          <w:tcPr>
            <w:tcW w:w="120" w:type="dxa"/>
            <w:vAlign w:val="bottom"/>
          </w:tcPr>
          <w:p>
            <w:pPr>
              <w:spacing w:after="0"/>
              <w:rPr>
                <w:sz w:val="19"/>
                <w:szCs w:val="19"/>
                <w:color w:val="auto"/>
              </w:rPr>
            </w:pPr>
          </w:p>
        </w:tc>
        <w:tc>
          <w:tcPr>
            <w:tcW w:w="45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34"/>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8.50% Notes due 2031</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ELLA</w:t>
            </w:r>
          </w:p>
        </w:tc>
        <w:tc>
          <w:tcPr>
            <w:tcW w:w="4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New York Stock Exchange</w:t>
            </w:r>
          </w:p>
        </w:tc>
      </w:tr>
    </w:tbl>
    <w:p>
      <w:pPr>
        <w:spacing w:after="0" w:line="306" w:lineRule="exact"/>
        <w:rPr>
          <w:sz w:val="24"/>
          <w:szCs w:val="24"/>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20"/>
        <w:spacing w:after="0" w:line="207" w:lineRule="exact"/>
        <w:tabs>
          <w:tab w:leader="none" w:pos="25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9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June 8, 2026, Ellington Credit Company issued a press release announcing that its Board of Trustees declared a monthly common dividend of $0.08 per share, payable on July 31, 2026 to common shareholders of record as of June 30, 2026.</w:t>
      </w:r>
    </w:p>
    <w:p>
      <w:pPr>
        <w:spacing w:after="0" w:line="108"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A copy of the press release is filed herewith as Exhibit 99.1 to this current report on Form 8-K and the information related to the dividend is incorporated herein by reference.</w:t>
      </w:r>
    </w:p>
    <w:p>
      <w:pPr>
        <w:spacing w:after="0" w:line="1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 Exhibits. The following exhibit is being furnished herewith this Current Report on Form 8-K.</w:t>
      </w:r>
    </w:p>
    <w:p>
      <w:pPr>
        <w:spacing w:after="0" w:line="17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June 8, 2026</w:t>
      </w:r>
    </w:p>
    <w:p>
      <w:pPr>
        <w:spacing w:after="0" w:line="27"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887" w:right="69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293" w:lineRule="exact"/>
        <w:rPr>
          <w:sz w:val="20"/>
          <w:szCs w:val="20"/>
          <w:color w:val="auto"/>
        </w:rPr>
      </w:pPr>
    </w:p>
    <w:p>
      <w:pPr>
        <w:ind w:left="20"/>
        <w:spacing w:after="0"/>
        <w:tabs>
          <w:tab w:leader="none" w:pos="720" w:val="left"/>
          <w:tab w:leader="none" w:pos="5180" w:val="left"/>
        </w:tabs>
        <w:rPr>
          <w:sz w:val="20"/>
          <w:szCs w:val="20"/>
          <w:color w:val="auto"/>
        </w:rPr>
      </w:pPr>
      <w:r>
        <w:rPr>
          <w:rFonts w:ascii="Times New Roman" w:cs="Times New Roman" w:eastAsia="Times New Roman" w:hAnsi="Times New Roman"/>
          <w:sz w:val="18"/>
          <w:szCs w:val="18"/>
          <w:color w:val="auto"/>
        </w:rPr>
        <w:t>Dated:</w:t>
        <w:tab/>
        <w:t>June 8,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Christopher Smernoff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19685</wp:posOffset>
            </wp:positionV>
            <wp:extent cx="3634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Christopher Smernoff</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140"/>
          </w:cols>
          <w:pgMar w:left="320" w:top="887"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Declares Monthly Common Dividend</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OLD GREENWICH, Conn., June 8, 2026—Ellington Credit Company (NYSE: EARN) ("we" or the "Fund") today announced that its Board of Trustees has declared a monthly common dividend of $0.08 per share, payable on July 31, 2026 to common shareholders of record as of June 30,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within the meaning of the safe harbor provisions of the Private Securities Litigation Reform Act of 1995. Forward-looking statements are not historical in nature and can be identified by words such as "anticipate," "estimate," "will," "should," "may," "expect," "project," "believe," "intend," "seek," "plan" and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numerous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those stated or implied by our forward-looking statements: changes in interest rates and the market value of our investments, market volatility, changes in the default rates on corporate loans, our ability to borrow to finance our assets, changes in government regulations affecting our business, a deterioration in the market for collateralized loan obligations, our ability to adapt to the new regulatory regime associated with our conversion to a closed-end fund/RIC, potential business disruption related to our conversion to a closed-end fund/RIC, ability to achieve the anticipated benefits of our conversion to a closed-end fund/RIC, and other changes in market conditions and economic trends, such as changes to fiscal or monetary policy, heightened inflation, increased tariffs, slower growth or recession, and currency fluctuations. Furthermore, as stated above, forward-looking statements are subject to numerous risks and uncertainties, including, among other things, those described under the heading “Risk Factors” in our Registration Statement on Form N-2, which can be accessed through the link to our SEC filings under "For Investors" on our website (at www.ellingtoncredit.com) or at the SEC's website (www.sec.gov). Other risks, uncertainties, and factors that could cause actual results to differ materially from those projected or implied may be described from time to time in reports we file with the SEC, and is not possible for us to predict or identify them all. We undertake no obligation to update or revise any forward-looking statements, whether as a result of new information, future events, or otherwise.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release and the information contained herein do not constitute an offer of any securities or solicitation of an offer to purchase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44444"/>
        </w:rPr>
        <w:t>About Ellington Credit Company</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Ellington Credit Company (the "Fund") is a non-diversified closed-end fund that seeks to provide attractive current yields and risk-adjusted total returns by investing primarily in corporate collateralized loan obligations ("CLOs"), with a focus on mezzanine debt and equity tranches. The Fund is externally managed and advised by an affiliate of Ellington Management Group, L.L.C., a leading fixed-income investment manager founded in 1994. The Fund benefits from Ellington’s extensive experience and deep expertise in portfolio management, credit analysis, and risk management.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visit www.ellingtoncredit.com.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2026-06-08T15:56:42Z</dcterms:created>
  <dcterms:modified xsi:type="dcterms:W3CDTF">2026-06-08T15:56:42Z</dcterms:modified>
</cp:coreProperties>
</file>